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A9F" w:rsidRPr="009D3429" w:rsidRDefault="006D4A9F" w:rsidP="006D4A9F">
      <w:pPr>
        <w:widowControl w:val="0"/>
        <w:spacing w:before="100" w:beforeAutospacing="1" w:after="100" w:afterAutospacing="1" w:line="360" w:lineRule="auto"/>
        <w:ind w:right="-164"/>
        <w:jc w:val="both"/>
        <w:rPr>
          <w:rFonts w:ascii="Palatino Linotype" w:hAnsi="Palatino Linotype" w:cs="Arial"/>
          <w:b/>
        </w:rPr>
      </w:pPr>
      <w:r w:rsidRPr="009D3429">
        <w:rPr>
          <w:rFonts w:ascii="Palatino Linotype" w:hAnsi="Palatino Linotype" w:cs="Arial"/>
          <w:b/>
        </w:rPr>
        <w:t>VOTO PARTICULAR QUE FORMULA LA COMISIONADA EVA ABAID YAPUR, EN RELACIÓN CON LA RESOLUCIÓN DICTADA POR EL PLENO DEL INSTITUTO DE TRANSPARENCIA, ACCESO A LA INFORMACIÓN PÚBLICA Y PROTECCIÓN DE DATOS PERSONALES DEL ESTAD</w:t>
      </w:r>
      <w:r>
        <w:rPr>
          <w:rFonts w:ascii="Palatino Linotype" w:hAnsi="Palatino Linotype" w:cs="Arial"/>
          <w:b/>
        </w:rPr>
        <w:t>O DE MÉXICO Y MUNICIPIOS, EN LA CUADRAGÉSIMA CUARTA</w:t>
      </w:r>
      <w:r w:rsidRPr="009D3429">
        <w:rPr>
          <w:rFonts w:ascii="Palatino Linotype" w:hAnsi="Palatino Linotype" w:cs="Arial"/>
          <w:b/>
        </w:rPr>
        <w:t xml:space="preserve"> SESIÓN ORDINARIA DE </w:t>
      </w:r>
      <w:r>
        <w:rPr>
          <w:rFonts w:ascii="Palatino Linotype" w:hAnsi="Palatino Linotype" w:cs="Arial"/>
          <w:b/>
        </w:rPr>
        <w:t xml:space="preserve">VEINTIOCHO DE NOVIEMBRE </w:t>
      </w:r>
      <w:r w:rsidRPr="009D3429">
        <w:rPr>
          <w:rFonts w:ascii="Palatino Linotype" w:hAnsi="Palatino Linotype" w:cs="Arial"/>
          <w:b/>
        </w:rPr>
        <w:t xml:space="preserve">DE DOS MIL DIECIOCHO, EN EL RECURSO DE REVISIÓN </w:t>
      </w:r>
      <w:r>
        <w:rPr>
          <w:rFonts w:ascii="Palatino Linotype" w:eastAsia="Calibri" w:hAnsi="Palatino Linotype" w:cs="Arial"/>
          <w:b/>
          <w:color w:val="000000"/>
        </w:rPr>
        <w:t>03483/IN</w:t>
      </w:r>
      <w:r w:rsidRPr="00883B4C">
        <w:rPr>
          <w:rFonts w:ascii="Palatino Linotype" w:eastAsia="Calibri" w:hAnsi="Palatino Linotype" w:cs="Arial"/>
          <w:b/>
          <w:color w:val="000000"/>
        </w:rPr>
        <w:t>FOEM/IP/RR/2018</w:t>
      </w:r>
      <w:r>
        <w:rPr>
          <w:rFonts w:ascii="Palatino Linotype" w:eastAsia="Calibri" w:hAnsi="Palatino Linotype" w:cs="Arial"/>
          <w:b/>
          <w:color w:val="000000"/>
        </w:rPr>
        <w:t>.</w:t>
      </w:r>
    </w:p>
    <w:p w:rsidR="006D4A9F" w:rsidRPr="009D3429" w:rsidRDefault="006D4A9F" w:rsidP="006D4A9F">
      <w:pPr>
        <w:spacing w:before="100" w:beforeAutospacing="1" w:after="100" w:afterAutospacing="1" w:line="360" w:lineRule="auto"/>
        <w:jc w:val="both"/>
        <w:rPr>
          <w:rFonts w:ascii="Palatino Linotype" w:hAnsi="Palatino Linotype" w:cs="Arial"/>
        </w:rPr>
      </w:pPr>
      <w:r w:rsidRPr="009D3429">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9D3429">
        <w:rPr>
          <w:rFonts w:ascii="Palatino Linotype" w:hAnsi="Palatino Linotype" w:cs="Arial"/>
          <w:b/>
          <w:lang w:val="es-ES_tradnl"/>
        </w:rPr>
        <w:t xml:space="preserve"> </w:t>
      </w:r>
      <w:r w:rsidRPr="009D3429">
        <w:rPr>
          <w:rFonts w:ascii="Palatino Linotype" w:hAnsi="Palatino Linotype" w:cs="Arial"/>
          <w:b/>
        </w:rPr>
        <w:t xml:space="preserve">EVA ABAID YAPUR, </w:t>
      </w:r>
      <w:r w:rsidRPr="009D3429">
        <w:rPr>
          <w:rFonts w:ascii="Palatino Linotype" w:hAnsi="Palatino Linotype" w:cs="Arial"/>
        </w:rPr>
        <w:t xml:space="preserve">emite </w:t>
      </w:r>
      <w:r w:rsidRPr="009D3429">
        <w:rPr>
          <w:rFonts w:ascii="Palatino Linotype" w:hAnsi="Palatino Linotype" w:cs="Arial"/>
          <w:b/>
        </w:rPr>
        <w:t xml:space="preserve">VOTO PARTICULAR </w:t>
      </w:r>
      <w:r w:rsidRPr="009D3429">
        <w:rPr>
          <w:rFonts w:ascii="Palatino Linotype" w:hAnsi="Palatino Linotype" w:cs="Arial"/>
        </w:rPr>
        <w:t xml:space="preserve">respecto de la resolución dictada en el recurso de revisión </w:t>
      </w:r>
      <w:r>
        <w:rPr>
          <w:rFonts w:ascii="Palatino Linotype" w:eastAsia="Calibri" w:hAnsi="Palatino Linotype" w:cs="Arial"/>
          <w:b/>
          <w:color w:val="000000"/>
        </w:rPr>
        <w:t>03483/INFOEM/IP/RR/2018</w:t>
      </w:r>
      <w:r w:rsidRPr="009D3429">
        <w:rPr>
          <w:rFonts w:ascii="Palatino Linotype" w:hAnsi="Palatino Linotype" w:cs="Arial"/>
        </w:rPr>
        <w:t xml:space="preserve">, pronunciada por el Pleno de este Instituto ante el proyecto presentado por </w:t>
      </w:r>
      <w:r>
        <w:rPr>
          <w:rFonts w:ascii="Palatino Linotype" w:hAnsi="Palatino Linotype" w:cs="Arial"/>
        </w:rPr>
        <w:t>el</w:t>
      </w:r>
      <w:r w:rsidRPr="009D3429">
        <w:rPr>
          <w:rFonts w:ascii="Palatino Linotype" w:hAnsi="Palatino Linotype" w:cs="Arial"/>
        </w:rPr>
        <w:t xml:space="preserve"> Comisionad</w:t>
      </w:r>
      <w:r>
        <w:rPr>
          <w:rFonts w:ascii="Palatino Linotype" w:hAnsi="Palatino Linotype" w:cs="Arial"/>
        </w:rPr>
        <w:t xml:space="preserve">o </w:t>
      </w:r>
      <w:r>
        <w:rPr>
          <w:rFonts w:ascii="Palatino Linotype" w:hAnsi="Palatino Linotype" w:cs="Arial"/>
          <w:b/>
        </w:rPr>
        <w:t>JOSÉ GUADALUPE LUNA HERNÁNDEZ</w:t>
      </w:r>
      <w:r w:rsidRPr="009D3429">
        <w:rPr>
          <w:rFonts w:ascii="Palatino Linotype" w:hAnsi="Palatino Linotype" w:cs="Arial"/>
          <w:b/>
        </w:rPr>
        <w:t>,</w:t>
      </w:r>
      <w:r>
        <w:rPr>
          <w:rFonts w:ascii="Palatino Linotype" w:hAnsi="Palatino Linotype" w:cs="Arial"/>
        </w:rPr>
        <w:t xml:space="preserve"> que es del tenor siguiente.</w:t>
      </w:r>
    </w:p>
    <w:p w:rsidR="006D4A9F" w:rsidRPr="009D3429" w:rsidRDefault="006D4A9F" w:rsidP="006D4A9F">
      <w:pPr>
        <w:spacing w:before="100" w:beforeAutospacing="1" w:after="100" w:afterAutospacing="1" w:line="360" w:lineRule="auto"/>
        <w:jc w:val="both"/>
        <w:rPr>
          <w:rFonts w:ascii="Palatino Linotype" w:hAnsi="Palatino Linotype"/>
        </w:rPr>
      </w:pPr>
      <w:r w:rsidRPr="009D3429">
        <w:rPr>
          <w:rFonts w:ascii="Palatino Linotype" w:hAnsi="Palatino Linotype"/>
        </w:rPr>
        <w:t>Es de destacar, que la suscrita comparte las razones que motivaron la emisión del recurso de revisión en comento; empero, estim</w:t>
      </w:r>
      <w:r>
        <w:rPr>
          <w:rFonts w:ascii="Palatino Linotype" w:hAnsi="Palatino Linotype"/>
        </w:rPr>
        <w:t>o</w:t>
      </w:r>
      <w:r w:rsidRPr="009D3429">
        <w:rPr>
          <w:rFonts w:ascii="Palatino Linotype" w:hAnsi="Palatino Linotype"/>
        </w:rPr>
        <w:t xml:space="preserve"> necesario precisar algunas consideraciones de hecho y de derecho, </w:t>
      </w:r>
      <w:r>
        <w:rPr>
          <w:rFonts w:ascii="Palatino Linotype" w:hAnsi="Palatino Linotype"/>
        </w:rPr>
        <w:t>tocante a la resolución correspondiente</w:t>
      </w:r>
      <w:r w:rsidRPr="009D3429">
        <w:rPr>
          <w:rFonts w:ascii="Palatino Linotype" w:hAnsi="Palatino Linotype"/>
        </w:rPr>
        <w:t>.</w:t>
      </w:r>
    </w:p>
    <w:p w:rsidR="006D4A9F" w:rsidRPr="00827049" w:rsidRDefault="006D4A9F" w:rsidP="006D4A9F">
      <w:pPr>
        <w:spacing w:before="100" w:beforeAutospacing="1" w:after="100" w:afterAutospacing="1" w:line="360" w:lineRule="auto"/>
        <w:jc w:val="both"/>
        <w:rPr>
          <w:rFonts w:ascii="Palatino Linotype" w:hAnsi="Palatino Linotype"/>
        </w:rPr>
      </w:pPr>
      <w:r w:rsidRPr="009D3429">
        <w:rPr>
          <w:rFonts w:ascii="Palatino Linotype" w:hAnsi="Palatino Linotype"/>
        </w:rPr>
        <w:t xml:space="preserve">Al respecto, tal y como quedó debidamente asentado en la resolución materia del presente voto, </w:t>
      </w:r>
      <w:r>
        <w:rPr>
          <w:rFonts w:ascii="Palatino Linotype" w:hAnsi="Palatino Linotype"/>
        </w:rPr>
        <w:t>la</w:t>
      </w:r>
      <w:r w:rsidRPr="009D3429">
        <w:rPr>
          <w:rFonts w:ascii="Palatino Linotype" w:hAnsi="Palatino Linotype"/>
        </w:rPr>
        <w:t xml:space="preserve"> particular requirió de</w:t>
      </w:r>
      <w:r>
        <w:rPr>
          <w:rFonts w:ascii="Palatino Linotype" w:hAnsi="Palatino Linotype"/>
        </w:rPr>
        <w:t xml:space="preserve"> </w:t>
      </w:r>
      <w:r w:rsidRPr="00827049">
        <w:rPr>
          <w:rFonts w:ascii="Palatino Linotype" w:hAnsi="Palatino Linotype"/>
          <w:b/>
        </w:rPr>
        <w:t>Servicios Educativos Integrados al Estado de México</w:t>
      </w:r>
      <w:r>
        <w:rPr>
          <w:rFonts w:ascii="Palatino Linotype" w:hAnsi="Palatino Linotype"/>
        </w:rPr>
        <w:t xml:space="preserve">; en lo sucesivo </w:t>
      </w:r>
      <w:r>
        <w:rPr>
          <w:rFonts w:ascii="Palatino Linotype" w:hAnsi="Palatino Linotype"/>
          <w:b/>
        </w:rPr>
        <w:t xml:space="preserve">EL </w:t>
      </w:r>
      <w:r w:rsidRPr="009D3429">
        <w:rPr>
          <w:rFonts w:ascii="Palatino Linotype" w:hAnsi="Palatino Linotype"/>
          <w:b/>
        </w:rPr>
        <w:t>SUJETO OBLIGADO</w:t>
      </w:r>
      <w:r>
        <w:rPr>
          <w:rFonts w:ascii="Palatino Linotype" w:hAnsi="Palatino Linotype"/>
        </w:rPr>
        <w:t xml:space="preserve">, el expediente de investigación número </w:t>
      </w:r>
      <w:r w:rsidRPr="00827049">
        <w:rPr>
          <w:rFonts w:ascii="Palatino Linotype" w:hAnsi="Palatino Linotype"/>
        </w:rPr>
        <w:t>CI/SEIEM/-VM/QUEJA/227/2018</w:t>
      </w:r>
      <w:r w:rsidR="00D3766F">
        <w:rPr>
          <w:rFonts w:ascii="Palatino Linotype" w:hAnsi="Palatino Linotype"/>
        </w:rPr>
        <w:t>.</w:t>
      </w:r>
    </w:p>
    <w:p w:rsidR="006D4A9F" w:rsidRDefault="006D4A9F" w:rsidP="006D4A9F">
      <w:pPr>
        <w:spacing w:before="100" w:beforeAutospacing="1" w:after="100" w:afterAutospacing="1" w:line="360" w:lineRule="auto"/>
        <w:jc w:val="both"/>
        <w:rPr>
          <w:rFonts w:ascii="Palatino Linotype" w:hAnsi="Palatino Linotype" w:cs="Arial"/>
        </w:rPr>
      </w:pPr>
      <w:r w:rsidRPr="009D3429">
        <w:rPr>
          <w:rFonts w:ascii="Palatino Linotype" w:hAnsi="Palatino Linotype" w:cs="Arial"/>
        </w:rPr>
        <w:lastRenderedPageBreak/>
        <w:t xml:space="preserve">En </w:t>
      </w:r>
      <w:r w:rsidRPr="009D3429">
        <w:rPr>
          <w:rFonts w:ascii="Palatino Linotype" w:hAnsi="Palatino Linotype"/>
        </w:rPr>
        <w:t>respuesta</w:t>
      </w:r>
      <w:r w:rsidRPr="009D3429">
        <w:rPr>
          <w:rFonts w:ascii="Palatino Linotype" w:hAnsi="Palatino Linotype" w:cs="Arial"/>
        </w:rPr>
        <w:t xml:space="preserve">, </w:t>
      </w:r>
      <w:r w:rsidRPr="009D3429">
        <w:rPr>
          <w:rFonts w:ascii="Palatino Linotype" w:hAnsi="Palatino Linotype" w:cs="Arial"/>
          <w:b/>
        </w:rPr>
        <w:t>EL SUJETO OBLIGADO</w:t>
      </w:r>
      <w:r>
        <w:rPr>
          <w:rFonts w:ascii="Palatino Linotype" w:hAnsi="Palatino Linotype" w:cs="Arial"/>
        </w:rPr>
        <w:t xml:space="preserve"> manifestó que no está facultado a proporcionar el expediente de investigación que se refiere en la solicitud toda vez que dicha autoridad es la encargada de la custodia del mismo, señalando a su vez que el solicitante interpuso recurso administrativo de inconformidad en contra del Acuerdo del veintiséis de julio del año en curso, por lo cual a la fecha se encontraba en trámite y en consecuencia no ha quedado firme. </w:t>
      </w:r>
    </w:p>
    <w:p w:rsidR="006D4A9F" w:rsidRDefault="006D4A9F" w:rsidP="006D4A9F">
      <w:pPr>
        <w:spacing w:before="100" w:beforeAutospacing="1" w:after="100" w:afterAutospacing="1" w:line="360" w:lineRule="auto"/>
        <w:jc w:val="both"/>
        <w:rPr>
          <w:rFonts w:ascii="Palatino Linotype" w:hAnsi="Palatino Linotype" w:cs="Arial"/>
        </w:rPr>
      </w:pPr>
      <w:r w:rsidRPr="009D3429">
        <w:rPr>
          <w:rFonts w:ascii="Palatino Linotype" w:hAnsi="Palatino Linotype" w:cs="Arial"/>
        </w:rPr>
        <w:t>Inconf</w:t>
      </w:r>
      <w:r>
        <w:rPr>
          <w:rFonts w:ascii="Palatino Linotype" w:hAnsi="Palatino Linotype" w:cs="Arial"/>
        </w:rPr>
        <w:t xml:space="preserve">orme con la respuesta otorgada, </w:t>
      </w:r>
      <w:r w:rsidRPr="00623A83">
        <w:rPr>
          <w:rFonts w:ascii="Palatino Linotype" w:hAnsi="Palatino Linotype" w:cs="Arial"/>
          <w:b/>
        </w:rPr>
        <w:t>L</w:t>
      </w:r>
      <w:r>
        <w:rPr>
          <w:rFonts w:ascii="Palatino Linotype" w:hAnsi="Palatino Linotype" w:cs="Arial"/>
          <w:b/>
        </w:rPr>
        <w:t>A</w:t>
      </w:r>
      <w:r w:rsidRPr="009D3429">
        <w:rPr>
          <w:rFonts w:ascii="Palatino Linotype" w:hAnsi="Palatino Linotype" w:cs="Arial"/>
          <w:b/>
        </w:rPr>
        <w:t xml:space="preserve"> RECURRENTE </w:t>
      </w:r>
      <w:r w:rsidRPr="009D3429">
        <w:rPr>
          <w:rFonts w:ascii="Palatino Linotype" w:hAnsi="Palatino Linotype" w:cs="Arial"/>
        </w:rPr>
        <w:t xml:space="preserve">interpuso el recurso de revisión de mérito, </w:t>
      </w:r>
      <w:r>
        <w:rPr>
          <w:rFonts w:ascii="Palatino Linotype" w:hAnsi="Palatino Linotype" w:cs="Arial"/>
        </w:rPr>
        <w:t xml:space="preserve">señalando como acto impugnado lo siguiente: </w:t>
      </w:r>
    </w:p>
    <w:p w:rsidR="006D4A9F" w:rsidRDefault="006D4A9F" w:rsidP="006D4A9F">
      <w:pPr>
        <w:spacing w:before="100" w:beforeAutospacing="1" w:after="100" w:afterAutospacing="1"/>
        <w:ind w:left="851" w:right="899"/>
        <w:jc w:val="both"/>
        <w:rPr>
          <w:rFonts w:ascii="Palatino Linotype" w:hAnsi="Palatino Linotype" w:cs="Arial"/>
          <w:i/>
          <w:sz w:val="22"/>
          <w:szCs w:val="22"/>
        </w:rPr>
      </w:pPr>
      <w:r w:rsidRPr="00015A28">
        <w:rPr>
          <w:rFonts w:ascii="Palatino Linotype" w:hAnsi="Palatino Linotype" w:cs="Arial"/>
          <w:i/>
          <w:sz w:val="22"/>
          <w:szCs w:val="22"/>
        </w:rPr>
        <w:t>“</w:t>
      </w:r>
      <w:r w:rsidRPr="001B02B6">
        <w:rPr>
          <w:rFonts w:ascii="Palatino Linotype" w:hAnsi="Palatino Linotype" w:cs="Arial"/>
          <w:i/>
          <w:sz w:val="22"/>
          <w:szCs w:val="22"/>
        </w:rPr>
        <w:t>La falta, deficiencia o insuficiencia de la fundamentación y/o motivación en la respuesta; así como información incompleta del sujeto obligado; e información que no corresponde a lo solicitado.</w:t>
      </w:r>
      <w:r w:rsidRPr="008557D8">
        <w:rPr>
          <w:rFonts w:ascii="Palatino Linotype" w:hAnsi="Palatino Linotype" w:cs="Arial"/>
          <w:i/>
          <w:sz w:val="22"/>
          <w:szCs w:val="22"/>
        </w:rPr>
        <w:t xml:space="preserve"> </w:t>
      </w:r>
      <w:r w:rsidRPr="00015A28">
        <w:rPr>
          <w:rFonts w:ascii="Palatino Linotype" w:hAnsi="Palatino Linotype" w:cs="Arial"/>
          <w:i/>
          <w:sz w:val="22"/>
          <w:szCs w:val="22"/>
        </w:rPr>
        <w:t>"(</w:t>
      </w:r>
      <w:proofErr w:type="gramStart"/>
      <w:r w:rsidRPr="00015A28">
        <w:rPr>
          <w:rFonts w:ascii="Palatino Linotype" w:hAnsi="Palatino Linotype" w:cs="Arial"/>
          <w:i/>
          <w:sz w:val="22"/>
          <w:szCs w:val="22"/>
        </w:rPr>
        <w:t>sic</w:t>
      </w:r>
      <w:proofErr w:type="gramEnd"/>
      <w:r w:rsidRPr="00015A28">
        <w:rPr>
          <w:rFonts w:ascii="Palatino Linotype" w:hAnsi="Palatino Linotype" w:cs="Arial"/>
          <w:i/>
          <w:sz w:val="22"/>
          <w:szCs w:val="22"/>
        </w:rPr>
        <w:t>)</w:t>
      </w:r>
    </w:p>
    <w:p w:rsidR="006D4A9F" w:rsidRDefault="006D4A9F" w:rsidP="006D4A9F">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Asimismo, manifestó como razones o motivos de inconformidad: </w:t>
      </w:r>
    </w:p>
    <w:p w:rsidR="006D4A9F" w:rsidRDefault="006D4A9F" w:rsidP="006D4A9F">
      <w:pPr>
        <w:spacing w:before="100" w:beforeAutospacing="1" w:after="100" w:afterAutospacing="1"/>
        <w:ind w:left="851" w:right="899"/>
        <w:jc w:val="both"/>
        <w:rPr>
          <w:rFonts w:ascii="Palatino Linotype" w:hAnsi="Palatino Linotype" w:cs="Arial"/>
          <w:i/>
          <w:sz w:val="22"/>
          <w:szCs w:val="22"/>
        </w:rPr>
      </w:pPr>
      <w:r w:rsidRPr="00015A28">
        <w:rPr>
          <w:rFonts w:ascii="Palatino Linotype" w:hAnsi="Palatino Linotype" w:cs="Arial"/>
          <w:i/>
          <w:sz w:val="22"/>
          <w:szCs w:val="22"/>
        </w:rPr>
        <w:t>“</w:t>
      </w:r>
      <w:r w:rsidRPr="001B02B6">
        <w:rPr>
          <w:rFonts w:ascii="Palatino Linotype" w:hAnsi="Palatino Linotype" w:cs="Arial"/>
          <w:i/>
          <w:sz w:val="22"/>
          <w:szCs w:val="22"/>
        </w:rPr>
        <w:t xml:space="preserve">El artículo 12 de la LEY DE TRANSPARENCIA Y ACCESO A LA INFORMACIÓN PÚBLICA DEL ESTADO DE MÉXICO Y MUNICIPIOS refiere que no se harán procesamiento de información. Y mi solicitud implica información relativa a una queja, que ya fue archivada. Más no a un recurso administrativo de inconformidad. El artículo 5 de la LEY DE RESPONSABILIDADES ADMINISTRATIVAS DEL ESTADO DE MÉXICO Y MUNICIPIOS carece de fracción IX. Respecto al artículo 30 fracción LII. Que al calce dice: "Las demás que le confieran otras disposiciones legales, incluyendo aquellas que se dispongan en el periódico oficial “Gaceta del Gobierno” por las dependencias u organismos auxiliares en los que se encuentren adscritos y las que le encomiende el Secretario o el Subsecretario. No existe claridad en cuanto cuáles son las "demás", ni a qué gaceta se refiera. El artículo 35 BIS del REGLAMENTO INTERIOR DE SERVICIOS EDUCATIVOS INTEGRADOS AL ESTADO DE MÉXICO, no fundamenta ni motiva la respuesta del sujeto obligado. El mismo </w:t>
      </w:r>
      <w:r w:rsidRPr="001B02B6">
        <w:rPr>
          <w:rFonts w:ascii="Palatino Linotype" w:hAnsi="Palatino Linotype" w:cs="Arial"/>
          <w:i/>
          <w:sz w:val="22"/>
          <w:szCs w:val="22"/>
        </w:rPr>
        <w:lastRenderedPageBreak/>
        <w:t>supuesto respecto al artículo 3° fracción XLI. Sujetos obligados; artículo 24 fracción VI,</w:t>
      </w:r>
      <w:r w:rsidRPr="00015A28">
        <w:rPr>
          <w:rFonts w:ascii="Palatino Linotype" w:hAnsi="Palatino Linotype" w:cs="Arial"/>
          <w:i/>
          <w:sz w:val="22"/>
          <w:szCs w:val="22"/>
        </w:rPr>
        <w:t>” (sic)</w:t>
      </w:r>
    </w:p>
    <w:p w:rsidR="006D4A9F" w:rsidRDefault="006D4A9F" w:rsidP="006D4A9F">
      <w:pPr>
        <w:spacing w:before="100" w:beforeAutospacing="1" w:after="100" w:afterAutospacing="1" w:line="360" w:lineRule="auto"/>
        <w:jc w:val="both"/>
        <w:rPr>
          <w:rFonts w:ascii="Palatino Linotype" w:hAnsi="Palatino Linotype" w:cs="Arial"/>
        </w:rPr>
      </w:pPr>
      <w:r w:rsidRPr="009D3429">
        <w:rPr>
          <w:rFonts w:ascii="Palatino Linotype" w:hAnsi="Palatino Linotype" w:cs="Arial"/>
        </w:rPr>
        <w:t>De lo anterior, conforme al análisis d</w:t>
      </w:r>
      <w:r w:rsidRPr="009D3429">
        <w:rPr>
          <w:rFonts w:ascii="Palatino Linotype" w:hAnsi="Palatino Linotype"/>
        </w:rPr>
        <w:t xml:space="preserve">el expediente electrónico del </w:t>
      </w:r>
      <w:r w:rsidRPr="009D3429">
        <w:rPr>
          <w:rFonts w:ascii="Palatino Linotype" w:hAnsi="Palatino Linotype"/>
          <w:b/>
        </w:rPr>
        <w:t>SAIMEX</w:t>
      </w:r>
      <w:r w:rsidRPr="009D3429">
        <w:rPr>
          <w:rFonts w:ascii="Palatino Linotype" w:hAnsi="Palatino Linotype" w:cs="Arial"/>
        </w:rPr>
        <w:t xml:space="preserve">, la Ponencia </w:t>
      </w:r>
      <w:proofErr w:type="spellStart"/>
      <w:r w:rsidRPr="009D3429">
        <w:rPr>
          <w:rFonts w:ascii="Palatino Linotype" w:hAnsi="Palatino Linotype" w:cs="Arial"/>
        </w:rPr>
        <w:t>Resolutora</w:t>
      </w:r>
      <w:proofErr w:type="spellEnd"/>
      <w:r w:rsidRPr="009D3429">
        <w:rPr>
          <w:rFonts w:ascii="Palatino Linotype" w:hAnsi="Palatino Linotype" w:cs="Arial"/>
        </w:rPr>
        <w:t xml:space="preserve"> determinó </w:t>
      </w:r>
      <w:r w:rsidRPr="009D3429">
        <w:rPr>
          <w:rFonts w:ascii="Palatino Linotype" w:hAnsi="Palatino Linotype" w:cs="Arial"/>
          <w:b/>
        </w:rPr>
        <w:t>MODIFICAR</w:t>
      </w:r>
      <w:r w:rsidRPr="009D3429">
        <w:rPr>
          <w:rFonts w:ascii="Palatino Linotype" w:hAnsi="Palatino Linotype" w:cs="Arial"/>
        </w:rPr>
        <w:t xml:space="preserve"> la respuesta del </w:t>
      </w:r>
      <w:r w:rsidRPr="009D3429">
        <w:rPr>
          <w:rFonts w:ascii="Palatino Linotype" w:hAnsi="Palatino Linotype" w:cs="Arial"/>
          <w:b/>
        </w:rPr>
        <w:t xml:space="preserve">SUJETO OBLIGADO </w:t>
      </w:r>
      <w:r w:rsidRPr="009D3429">
        <w:rPr>
          <w:rFonts w:ascii="Palatino Linotype" w:hAnsi="Palatino Linotype" w:cs="Arial"/>
        </w:rPr>
        <w:t xml:space="preserve">ordenándole </w:t>
      </w:r>
      <w:r>
        <w:rPr>
          <w:rFonts w:ascii="Palatino Linotype" w:hAnsi="Palatino Linotype" w:cs="Arial"/>
        </w:rPr>
        <w:t xml:space="preserve">hacer entrega </w:t>
      </w:r>
      <w:r w:rsidRPr="009D3429">
        <w:rPr>
          <w:rFonts w:ascii="Palatino Linotype" w:hAnsi="Palatino Linotype" w:cs="Arial"/>
        </w:rPr>
        <w:t>vía Sistema de Acceso a I</w:t>
      </w:r>
      <w:r>
        <w:rPr>
          <w:rFonts w:ascii="Palatino Linotype" w:hAnsi="Palatino Linotype" w:cs="Arial"/>
        </w:rPr>
        <w:t>nformación Mexiquense, del acuerdo de clasificación como información reservada, del expediente de</w:t>
      </w:r>
      <w:r w:rsidRPr="00D92C17">
        <w:rPr>
          <w:rFonts w:ascii="Palatino Linotype" w:hAnsi="Palatino Linotype"/>
          <w:b/>
          <w:lang w:eastAsia="en-US"/>
        </w:rPr>
        <w:t xml:space="preserve"> </w:t>
      </w:r>
      <w:r w:rsidRPr="001B02B6">
        <w:rPr>
          <w:rFonts w:ascii="Palatino Linotype" w:hAnsi="Palatino Linotype"/>
          <w:lang w:eastAsia="en-US"/>
        </w:rPr>
        <w:t>investigación número CI/SEIEM/-VM/QUEJA/227/2018.</w:t>
      </w:r>
    </w:p>
    <w:p w:rsidR="006D4A9F" w:rsidRDefault="006D4A9F" w:rsidP="006D4A9F">
      <w:pPr>
        <w:spacing w:before="100" w:beforeAutospacing="1" w:after="100" w:afterAutospacing="1" w:line="360" w:lineRule="auto"/>
        <w:jc w:val="both"/>
        <w:rPr>
          <w:rFonts w:ascii="Palatino Linotype" w:hAnsi="Palatino Linotype"/>
        </w:rPr>
      </w:pPr>
      <w:r>
        <w:rPr>
          <w:rFonts w:ascii="Palatino Linotype" w:hAnsi="Palatino Linotype" w:cs="Arial"/>
        </w:rPr>
        <w:t xml:space="preserve">En ese sentido, </w:t>
      </w:r>
      <w:r w:rsidRPr="00D93A88">
        <w:rPr>
          <w:rFonts w:ascii="Palatino Linotype" w:hAnsi="Palatino Linotype"/>
        </w:rPr>
        <w:t>l</w:t>
      </w:r>
      <w:r>
        <w:rPr>
          <w:rFonts w:ascii="Palatino Linotype" w:hAnsi="Palatino Linotype"/>
        </w:rPr>
        <w:t>a</w:t>
      </w:r>
      <w:r w:rsidRPr="00D93A88">
        <w:rPr>
          <w:rFonts w:ascii="Palatino Linotype" w:hAnsi="Palatino Linotype"/>
        </w:rPr>
        <w:t xml:space="preserve"> que suscribe</w:t>
      </w:r>
      <w:r>
        <w:rPr>
          <w:rFonts w:ascii="Palatino Linotype" w:hAnsi="Palatino Linotype"/>
        </w:rPr>
        <w:t xml:space="preserve">, si bien coincide con las causas que dieron origen al recurso de revisión en comento, difiero </w:t>
      </w:r>
      <w:r w:rsidRPr="00D93A88">
        <w:rPr>
          <w:rFonts w:ascii="Palatino Linotype" w:hAnsi="Palatino Linotype"/>
        </w:rPr>
        <w:t>respecto a</w:t>
      </w:r>
      <w:r>
        <w:rPr>
          <w:rFonts w:ascii="Palatino Linotype" w:hAnsi="Palatino Linotype"/>
        </w:rPr>
        <w:t xml:space="preserve">l hecho de </w:t>
      </w:r>
      <w:r w:rsidRPr="00D93A88">
        <w:rPr>
          <w:rFonts w:ascii="Palatino Linotype" w:hAnsi="Palatino Linotype"/>
        </w:rPr>
        <w:t xml:space="preserve">que </w:t>
      </w:r>
      <w:r>
        <w:rPr>
          <w:rFonts w:ascii="Palatino Linotype" w:hAnsi="Palatino Linotype"/>
        </w:rPr>
        <w:t xml:space="preserve">lo procedente sea </w:t>
      </w:r>
      <w:r>
        <w:rPr>
          <w:rFonts w:ascii="Palatino Linotype" w:hAnsi="Palatino Linotype"/>
          <w:b/>
        </w:rPr>
        <w:t>MODIFICAR</w:t>
      </w:r>
      <w:r w:rsidRPr="00722925">
        <w:rPr>
          <w:rFonts w:ascii="Palatino Linotype" w:hAnsi="Palatino Linotype" w:cs="Arial"/>
        </w:rPr>
        <w:t xml:space="preserve"> </w:t>
      </w:r>
      <w:r>
        <w:rPr>
          <w:rFonts w:ascii="Palatino Linotype" w:hAnsi="Palatino Linotype" w:cs="Arial"/>
        </w:rPr>
        <w:t xml:space="preserve">la respuesta del </w:t>
      </w:r>
      <w:r w:rsidRPr="00A467B5">
        <w:rPr>
          <w:rFonts w:ascii="Palatino Linotype" w:hAnsi="Palatino Linotype" w:cs="Arial"/>
          <w:b/>
        </w:rPr>
        <w:t>SUJETO OBLIGADO</w:t>
      </w:r>
      <w:r>
        <w:rPr>
          <w:rFonts w:ascii="Palatino Linotype" w:hAnsi="Palatino Linotype"/>
        </w:rPr>
        <w:t xml:space="preserve">. </w:t>
      </w:r>
      <w:r w:rsidRPr="003C72D2">
        <w:rPr>
          <w:rFonts w:ascii="Palatino Linotype" w:hAnsi="Palatino Linotype"/>
        </w:rPr>
        <w:t>L</w:t>
      </w:r>
      <w:r>
        <w:rPr>
          <w:rFonts w:ascii="Palatino Linotype" w:hAnsi="Palatino Linotype"/>
        </w:rPr>
        <w:t>o anterior es así, de acuerdo con lo siguiente.</w:t>
      </w:r>
    </w:p>
    <w:p w:rsidR="006D4A9F" w:rsidRPr="009D3429" w:rsidRDefault="006D4A9F" w:rsidP="006D4A9F">
      <w:pPr>
        <w:spacing w:before="100" w:beforeAutospacing="1" w:after="100" w:afterAutospacing="1" w:line="360" w:lineRule="auto"/>
        <w:jc w:val="both"/>
        <w:rPr>
          <w:rFonts w:ascii="Palatino Linotype" w:hAnsi="Palatino Linotype"/>
        </w:rPr>
      </w:pPr>
      <w:r w:rsidRPr="009D3429">
        <w:rPr>
          <w:rFonts w:ascii="Palatino Linotype" w:hAnsi="Palatino Linotype"/>
        </w:rPr>
        <w:t xml:space="preserve">En primer término, es necesario precisar que de conformidad con el artículo 186 de la </w:t>
      </w:r>
      <w:r w:rsidRPr="009D3429">
        <w:rPr>
          <w:rFonts w:ascii="Palatino Linotype" w:hAnsi="Palatino Linotype" w:cs="Arial"/>
        </w:rPr>
        <w:t>Ley de Transparencia y Acceso a la Información Pública del Estado de México y Municipios,</w:t>
      </w:r>
      <w:r w:rsidRPr="009D3429">
        <w:rPr>
          <w:rFonts w:ascii="Palatino Linotype" w:hAnsi="Palatino Linotype"/>
        </w:rPr>
        <w:t xml:space="preserve"> las Resoluciones emitidas por este Órgano Garante podrán:</w:t>
      </w:r>
    </w:p>
    <w:p w:rsidR="006D4A9F" w:rsidRPr="00424C0F" w:rsidRDefault="006D4A9F" w:rsidP="006D4A9F">
      <w:pPr>
        <w:pStyle w:val="Prrafodelista"/>
        <w:numPr>
          <w:ilvl w:val="0"/>
          <w:numId w:val="4"/>
        </w:numPr>
        <w:spacing w:before="100" w:beforeAutospacing="1" w:after="100" w:afterAutospacing="1" w:line="360" w:lineRule="auto"/>
        <w:ind w:left="851" w:right="1043" w:firstLine="0"/>
        <w:contextualSpacing w:val="0"/>
        <w:jc w:val="both"/>
        <w:rPr>
          <w:rFonts w:ascii="Palatino Linotype" w:hAnsi="Palatino Linotype"/>
          <w:szCs w:val="22"/>
        </w:rPr>
      </w:pPr>
      <w:r w:rsidRPr="00424C0F">
        <w:rPr>
          <w:rFonts w:ascii="Palatino Linotype" w:hAnsi="Palatino Linotype"/>
          <w:szCs w:val="22"/>
        </w:rPr>
        <w:t xml:space="preserve">Desechar o sobreseer el recurso; </w:t>
      </w:r>
    </w:p>
    <w:p w:rsidR="006D4A9F" w:rsidRPr="00424C0F" w:rsidRDefault="006D4A9F" w:rsidP="006D4A9F">
      <w:pPr>
        <w:pStyle w:val="Prrafodelista"/>
        <w:numPr>
          <w:ilvl w:val="0"/>
          <w:numId w:val="4"/>
        </w:numPr>
        <w:spacing w:before="100" w:beforeAutospacing="1" w:after="100" w:afterAutospacing="1" w:line="360" w:lineRule="auto"/>
        <w:ind w:left="851" w:right="1043" w:firstLine="0"/>
        <w:contextualSpacing w:val="0"/>
        <w:jc w:val="both"/>
        <w:rPr>
          <w:rFonts w:ascii="Palatino Linotype" w:hAnsi="Palatino Linotype"/>
          <w:szCs w:val="22"/>
        </w:rPr>
      </w:pPr>
      <w:r w:rsidRPr="00424C0F">
        <w:rPr>
          <w:rFonts w:ascii="Palatino Linotype" w:hAnsi="Palatino Linotype"/>
          <w:szCs w:val="22"/>
        </w:rPr>
        <w:t xml:space="preserve">Confirmar la respuesta del sujeto obligado; </w:t>
      </w:r>
    </w:p>
    <w:p w:rsidR="006D4A9F" w:rsidRPr="00424C0F" w:rsidRDefault="006D4A9F" w:rsidP="006D4A9F">
      <w:pPr>
        <w:pStyle w:val="Prrafodelista"/>
        <w:numPr>
          <w:ilvl w:val="0"/>
          <w:numId w:val="4"/>
        </w:numPr>
        <w:spacing w:before="100" w:beforeAutospacing="1" w:after="100" w:afterAutospacing="1" w:line="360" w:lineRule="auto"/>
        <w:ind w:left="851" w:right="1043" w:firstLine="0"/>
        <w:contextualSpacing w:val="0"/>
        <w:jc w:val="both"/>
        <w:rPr>
          <w:rFonts w:ascii="Palatino Linotype" w:hAnsi="Palatino Linotype"/>
          <w:szCs w:val="22"/>
        </w:rPr>
      </w:pPr>
      <w:r w:rsidRPr="00424C0F">
        <w:rPr>
          <w:rFonts w:ascii="Palatino Linotype" w:hAnsi="Palatino Linotype"/>
          <w:b/>
          <w:szCs w:val="22"/>
        </w:rPr>
        <w:t>Revocar o modificar la respuesta del sujeto obligado</w:t>
      </w:r>
      <w:r w:rsidRPr="00424C0F">
        <w:rPr>
          <w:rFonts w:ascii="Palatino Linotype" w:hAnsi="Palatino Linotype"/>
          <w:szCs w:val="22"/>
        </w:rPr>
        <w:t xml:space="preserve">; y </w:t>
      </w:r>
    </w:p>
    <w:p w:rsidR="006D4A9F" w:rsidRPr="00424C0F" w:rsidRDefault="006D4A9F" w:rsidP="006D4A9F">
      <w:pPr>
        <w:pStyle w:val="Prrafodelista"/>
        <w:numPr>
          <w:ilvl w:val="0"/>
          <w:numId w:val="4"/>
        </w:numPr>
        <w:spacing w:before="100" w:beforeAutospacing="1" w:after="100" w:afterAutospacing="1" w:line="360" w:lineRule="auto"/>
        <w:ind w:left="851" w:right="1043" w:firstLine="0"/>
        <w:contextualSpacing w:val="0"/>
        <w:jc w:val="both"/>
        <w:rPr>
          <w:rFonts w:ascii="Palatino Linotype" w:hAnsi="Palatino Linotype"/>
          <w:sz w:val="22"/>
          <w:szCs w:val="22"/>
        </w:rPr>
      </w:pPr>
      <w:r w:rsidRPr="00424C0F">
        <w:rPr>
          <w:rFonts w:ascii="Palatino Linotype" w:hAnsi="Palatino Linotype"/>
          <w:szCs w:val="22"/>
        </w:rPr>
        <w:t>Ordenar la entrega de la información.</w:t>
      </w:r>
    </w:p>
    <w:p w:rsidR="006D4A9F" w:rsidRDefault="006D4A9F" w:rsidP="006D4A9F">
      <w:pPr>
        <w:spacing w:before="100" w:beforeAutospacing="1" w:after="100" w:afterAutospacing="1" w:line="360" w:lineRule="auto"/>
        <w:jc w:val="both"/>
        <w:rPr>
          <w:rFonts w:ascii="Palatino Linotype" w:hAnsi="Palatino Linotype"/>
        </w:rPr>
      </w:pPr>
      <w:r w:rsidRPr="009D3429">
        <w:rPr>
          <w:rFonts w:ascii="Palatino Linotype" w:hAnsi="Palatino Linotype"/>
        </w:rPr>
        <w:t xml:space="preserve">En el caso particular de la fracción III y en relación a dichos sentidos, se procede a </w:t>
      </w:r>
      <w:r w:rsidRPr="009D3429">
        <w:rPr>
          <w:rFonts w:ascii="Palatino Linotype" w:hAnsi="Palatino Linotype"/>
          <w:b/>
        </w:rPr>
        <w:t>REVOCAR</w:t>
      </w:r>
      <w:r w:rsidRPr="009D3429">
        <w:rPr>
          <w:rFonts w:ascii="Palatino Linotype" w:hAnsi="Palatino Linotype"/>
        </w:rPr>
        <w:t xml:space="preserve"> la respuesta de los Sujetos Obligados, cuando ésta no satisfaga en su </w:t>
      </w:r>
      <w:r w:rsidRPr="009D3429">
        <w:rPr>
          <w:rFonts w:ascii="Palatino Linotype" w:hAnsi="Palatino Linotype"/>
          <w:b/>
        </w:rPr>
        <w:lastRenderedPageBreak/>
        <w:t>totalidad</w:t>
      </w:r>
      <w:r w:rsidRPr="009D3429">
        <w:rPr>
          <w:rFonts w:ascii="Palatino Linotype" w:hAnsi="Palatino Linotype"/>
        </w:rPr>
        <w:t xml:space="preserve"> la información requerida por los particulares; mientras que se procede a </w:t>
      </w:r>
      <w:r w:rsidRPr="009D3429">
        <w:rPr>
          <w:rFonts w:ascii="Palatino Linotype" w:hAnsi="Palatino Linotype"/>
          <w:b/>
        </w:rPr>
        <w:t xml:space="preserve">MODIFICAR </w:t>
      </w:r>
      <w:r w:rsidRPr="009D3429">
        <w:rPr>
          <w:rFonts w:ascii="Palatino Linotype" w:hAnsi="Palatino Linotype"/>
        </w:rPr>
        <w:t xml:space="preserve">la misma, en aquellos casos en que se colme </w:t>
      </w:r>
      <w:r w:rsidRPr="009D3429">
        <w:rPr>
          <w:rFonts w:ascii="Palatino Linotype" w:hAnsi="Palatino Linotype"/>
          <w:b/>
        </w:rPr>
        <w:t>parcialmente</w:t>
      </w:r>
      <w:r w:rsidRPr="009D3429">
        <w:rPr>
          <w:rFonts w:ascii="Palatino Linotype" w:hAnsi="Palatino Linotype"/>
        </w:rPr>
        <w:t xml:space="preserve"> la solicitud de información, por mínima que pudiera resultar ésta.</w:t>
      </w:r>
    </w:p>
    <w:p w:rsidR="006D4A9F" w:rsidRPr="009D3429" w:rsidRDefault="006D4A9F" w:rsidP="006D4A9F">
      <w:pPr>
        <w:spacing w:before="100" w:beforeAutospacing="1" w:after="100" w:afterAutospacing="1" w:line="360" w:lineRule="auto"/>
        <w:jc w:val="both"/>
        <w:rPr>
          <w:rFonts w:ascii="Palatino Linotype" w:hAnsi="Palatino Linotype"/>
        </w:rPr>
      </w:pPr>
      <w:r>
        <w:rPr>
          <w:rFonts w:ascii="Palatino Linotype" w:hAnsi="Palatino Linotype"/>
        </w:rPr>
        <w:t xml:space="preserve">De lo anterior, es de advertir que </w:t>
      </w:r>
      <w:r w:rsidRPr="00F25E49">
        <w:rPr>
          <w:rFonts w:ascii="Palatino Linotype" w:hAnsi="Palatino Linotype"/>
          <w:b/>
        </w:rPr>
        <w:t>EL SUJETO OBLIGADO</w:t>
      </w:r>
      <w:r>
        <w:rPr>
          <w:rFonts w:ascii="Palatino Linotype" w:hAnsi="Palatino Linotype"/>
        </w:rPr>
        <w:t xml:space="preserve"> no modificó su respuesta, dado que el estudio planteado por la Ponencia </w:t>
      </w:r>
      <w:proofErr w:type="spellStart"/>
      <w:r>
        <w:rPr>
          <w:rFonts w:ascii="Palatino Linotype" w:hAnsi="Palatino Linotype"/>
        </w:rPr>
        <w:t>Resolutora</w:t>
      </w:r>
      <w:proofErr w:type="spellEnd"/>
      <w:r>
        <w:rPr>
          <w:rFonts w:ascii="Palatino Linotype" w:hAnsi="Palatino Linotype"/>
        </w:rPr>
        <w:t xml:space="preserve"> se basa en la información otorgada en la respuesta de la solicitud que le fue planteada y en el mismo se advierte que </w:t>
      </w:r>
      <w:r w:rsidRPr="00D436C1">
        <w:rPr>
          <w:rFonts w:ascii="Palatino Linotype" w:hAnsi="Palatino Linotype"/>
          <w:b/>
        </w:rPr>
        <w:t>EL SUJETO OBLIGADO</w:t>
      </w:r>
      <w:r>
        <w:rPr>
          <w:rFonts w:ascii="Palatino Linotype" w:hAnsi="Palatino Linotype"/>
        </w:rPr>
        <w:t xml:space="preserve"> no colmó ni total ni parcialmente el derecho de acceso a la información de la solicitante para considerar que el sentido deba ser un </w:t>
      </w:r>
      <w:r w:rsidRPr="00D436C1">
        <w:rPr>
          <w:rFonts w:ascii="Palatino Linotype" w:hAnsi="Palatino Linotype"/>
          <w:b/>
        </w:rPr>
        <w:t>MODIFICA</w:t>
      </w:r>
      <w:r>
        <w:rPr>
          <w:rFonts w:ascii="Palatino Linotype" w:hAnsi="Palatino Linotype"/>
          <w:b/>
        </w:rPr>
        <w:t>.</w:t>
      </w:r>
    </w:p>
    <w:p w:rsidR="006D4A9F" w:rsidRPr="00D10F2B" w:rsidRDefault="006D4A9F" w:rsidP="006D4A9F">
      <w:pPr>
        <w:spacing w:before="100" w:beforeAutospacing="1" w:after="100" w:afterAutospacing="1" w:line="360" w:lineRule="auto"/>
        <w:jc w:val="both"/>
        <w:rPr>
          <w:rFonts w:ascii="Palatino Linotype" w:hAnsi="Palatino Linotype"/>
        </w:rPr>
      </w:pPr>
      <w:r>
        <w:rPr>
          <w:rFonts w:ascii="Palatino Linotype" w:hAnsi="Palatino Linotype"/>
        </w:rPr>
        <w:t>Por otra parte</w:t>
      </w:r>
      <w:r>
        <w:rPr>
          <w:rFonts w:ascii="Palatino Linotype" w:hAnsi="Palatino Linotype" w:cs="Arial"/>
        </w:rPr>
        <w:t xml:space="preserve">, considero que no se encuadra la hipótesis contenida en los artículos 159 y 160 de la Ley General de Transparencia y Acceso a la Información Pública citados por la Ponencia </w:t>
      </w:r>
      <w:proofErr w:type="spellStart"/>
      <w:r>
        <w:rPr>
          <w:rFonts w:ascii="Palatino Linotype" w:hAnsi="Palatino Linotype" w:cs="Arial"/>
        </w:rPr>
        <w:t>Resolutora</w:t>
      </w:r>
      <w:proofErr w:type="spellEnd"/>
      <w:r>
        <w:rPr>
          <w:rFonts w:ascii="Palatino Linotype" w:hAnsi="Palatino Linotype" w:cs="Arial"/>
        </w:rPr>
        <w:t xml:space="preserve"> en el Resolutivo QUINTO de la resolución de mérito, a fin de interponer el recurso de inconformidad ante el Instituto Nacional de Transparencia, Acceso a la Información y Protección de Datos Personales.</w:t>
      </w:r>
    </w:p>
    <w:p w:rsidR="006D4A9F" w:rsidRDefault="006D4A9F" w:rsidP="006D4A9F">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En ese contexto, conviene precisar que los artículos 159 y 160 de la Ley General, se encuentran inmersos en el Título Octavo de la Ley en cita, denominado “De los Procedimientos de Impugnación en Materia de Acceso a la Información Pública”, específicamente en el Capítulo II “Del Recurso de Inconformidad ante el Instituto”, los cuales nos hacen mención de las instancias ante las cuales se podrá interponer el recurso de inconformidad y los supuestos legales en los que procede, tal y como se aprecia a continuación:</w:t>
      </w:r>
    </w:p>
    <w:p w:rsidR="006D4A9F" w:rsidRDefault="006D4A9F" w:rsidP="006D4A9F">
      <w:pPr>
        <w:ind w:left="851" w:right="902"/>
        <w:jc w:val="both"/>
        <w:rPr>
          <w:rFonts w:ascii="Palatino Linotype" w:hAnsi="Palatino Linotype"/>
          <w:i/>
          <w:sz w:val="22"/>
        </w:rPr>
      </w:pPr>
      <w:r>
        <w:rPr>
          <w:rFonts w:ascii="Palatino Linotype" w:hAnsi="Palatino Linotype"/>
          <w:i/>
          <w:sz w:val="22"/>
        </w:rPr>
        <w:lastRenderedPageBreak/>
        <w:t>“</w:t>
      </w:r>
      <w:r>
        <w:rPr>
          <w:rFonts w:ascii="Palatino Linotype" w:hAnsi="Palatino Linotype"/>
          <w:b/>
          <w:i/>
          <w:sz w:val="22"/>
        </w:rPr>
        <w:t>Artículo 159</w:t>
      </w:r>
      <w:r>
        <w:rPr>
          <w:rFonts w:ascii="Palatino Linotype" w:hAnsi="Palatino Linotype"/>
          <w:i/>
          <w:sz w:val="22"/>
        </w:rPr>
        <w:t>. Tratándose de las resoluciones a los recursos de revisión de los Organismos garantes de las Entidades Federativas, los particulares podrán optar por acudir ante el Instituto o ante el Poder Judicial de la Federación.</w:t>
      </w:r>
    </w:p>
    <w:p w:rsidR="006D4A9F" w:rsidRDefault="006D4A9F" w:rsidP="006D4A9F">
      <w:pPr>
        <w:ind w:left="851" w:right="902"/>
        <w:jc w:val="both"/>
        <w:rPr>
          <w:rFonts w:ascii="Palatino Linotype" w:hAnsi="Palatino Linotype"/>
          <w:i/>
          <w:sz w:val="22"/>
        </w:rPr>
      </w:pPr>
      <w:r>
        <w:rPr>
          <w:rFonts w:ascii="Palatino Linotype" w:hAnsi="Palatino Linotype"/>
          <w:b/>
          <w:i/>
          <w:sz w:val="22"/>
        </w:rPr>
        <w:t>Artículo 160</w:t>
      </w:r>
      <w:r>
        <w:rPr>
          <w:rFonts w:ascii="Palatino Linotype" w:hAnsi="Palatino Linotype"/>
          <w:i/>
          <w:sz w:val="22"/>
        </w:rPr>
        <w:t>. El recurso de inconformidad procede contra las resoluciones emitidas por los Organismos garantes de las Entidades Federativas que:</w:t>
      </w:r>
    </w:p>
    <w:p w:rsidR="006D4A9F" w:rsidRDefault="006D4A9F" w:rsidP="006D4A9F">
      <w:pPr>
        <w:ind w:left="851" w:right="902"/>
        <w:jc w:val="both"/>
        <w:rPr>
          <w:rFonts w:ascii="Palatino Linotype" w:hAnsi="Palatino Linotype"/>
          <w:b/>
          <w:i/>
          <w:sz w:val="22"/>
        </w:rPr>
      </w:pPr>
      <w:r>
        <w:rPr>
          <w:rFonts w:ascii="Palatino Linotype" w:hAnsi="Palatino Linotype"/>
          <w:b/>
          <w:i/>
          <w:sz w:val="22"/>
        </w:rPr>
        <w:t>I.</w:t>
      </w:r>
      <w:r>
        <w:rPr>
          <w:rFonts w:ascii="Palatino Linotype" w:hAnsi="Palatino Linotype"/>
          <w:i/>
          <w:sz w:val="22"/>
        </w:rPr>
        <w:tab/>
      </w:r>
      <w:r>
        <w:rPr>
          <w:rFonts w:ascii="Palatino Linotype" w:hAnsi="Palatino Linotype"/>
          <w:b/>
          <w:i/>
          <w:sz w:val="22"/>
        </w:rPr>
        <w:t>Confirmen o modifiquen la clasificación de la información, o</w:t>
      </w:r>
    </w:p>
    <w:p w:rsidR="006D4A9F" w:rsidRDefault="006D4A9F" w:rsidP="006D4A9F">
      <w:pPr>
        <w:ind w:left="851" w:right="902"/>
        <w:jc w:val="both"/>
        <w:rPr>
          <w:rFonts w:ascii="Palatino Linotype" w:hAnsi="Palatino Linotype"/>
          <w:i/>
          <w:sz w:val="22"/>
        </w:rPr>
      </w:pPr>
      <w:r w:rsidRPr="00874B65">
        <w:rPr>
          <w:rFonts w:ascii="Palatino Linotype" w:hAnsi="Palatino Linotype"/>
          <w:i/>
          <w:sz w:val="22"/>
        </w:rPr>
        <w:t>II.</w:t>
      </w:r>
      <w:r w:rsidRPr="00874B65">
        <w:rPr>
          <w:rFonts w:ascii="Palatino Linotype" w:hAnsi="Palatino Linotype"/>
          <w:i/>
          <w:sz w:val="22"/>
        </w:rPr>
        <w:tab/>
        <w:t>Confirmen la inexistencia o negativa de información.</w:t>
      </w:r>
    </w:p>
    <w:p w:rsidR="006D4A9F" w:rsidRDefault="006D4A9F" w:rsidP="006D4A9F">
      <w:pPr>
        <w:ind w:left="851" w:right="902"/>
        <w:jc w:val="both"/>
        <w:rPr>
          <w:rFonts w:ascii="Palatino Linotype" w:hAnsi="Palatino Linotype"/>
          <w:i/>
          <w:sz w:val="22"/>
        </w:rPr>
      </w:pPr>
      <w:r>
        <w:rPr>
          <w:rFonts w:ascii="Palatino Linotype" w:hAnsi="Palatino Linotype"/>
          <w:i/>
          <w:sz w:val="22"/>
        </w:rPr>
        <w:t>Se entenderá como negativa de acceso a la información la falta de resolución de los Organismos garantes de las Entidades Federativas dentro del plazo previsto para ello.”</w:t>
      </w:r>
    </w:p>
    <w:p w:rsidR="006D4A9F" w:rsidRDefault="006D4A9F" w:rsidP="006D4A9F">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De lo anterior se advierte que, los artículos en cita no resultan aplicables al asunto en concreto, toda vez que </w:t>
      </w:r>
      <w:r>
        <w:rPr>
          <w:rFonts w:ascii="Palatino Linotype" w:hAnsi="Palatino Linotype" w:cs="Arial"/>
          <w:b/>
        </w:rPr>
        <w:t>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xml:space="preserve"> en su respuesta, no clasificó formalmente la información requerida por la particular, así como tampoco confirmó la inexistencia de la misma y el recurso de revisión fue resuelto conforme al plazo señalado en el numeral 181 de la Ley de Transparencia y Acceso a la Información Pública del Estado de México y Municipios; por lo que, no puede considerarse como negativa de la información, por ende, no se actualiza alguno de los supuestos legales anteriormente citados.</w:t>
      </w:r>
    </w:p>
    <w:p w:rsidR="006D4A9F" w:rsidRDefault="006D4A9F" w:rsidP="006D4A9F">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Para mayor claridad de lo aducido, se debe establecer que para confirmar la clasificación de la información solicitada, </w:t>
      </w:r>
      <w:r>
        <w:rPr>
          <w:rFonts w:ascii="Palatino Linotype" w:hAnsi="Palatino Linotype" w:cs="Arial"/>
          <w:b/>
        </w:rPr>
        <w:t xml:space="preserve">EL SUJETO OBLIGADO </w:t>
      </w:r>
      <w:r>
        <w:rPr>
          <w:rFonts w:ascii="Palatino Linotype" w:hAnsi="Palatino Linotype" w:cs="Arial"/>
        </w:rPr>
        <w:t xml:space="preserve">debió haber remitido desde su respuesta el Acuerdo mediante el cual, su Comité de Transparencia aprobara tal situación; en términos de los artículos 3, fracción XXIV y 140, fracción VIII de la Ley de Transparencia y Acceso a la Información Pública del Estado de México y Municipios; y derivado de la inconformidad de </w:t>
      </w:r>
      <w:r w:rsidRPr="006F214C">
        <w:rPr>
          <w:rFonts w:ascii="Palatino Linotype" w:hAnsi="Palatino Linotype" w:cs="Arial"/>
          <w:b/>
        </w:rPr>
        <w:t>LA</w:t>
      </w:r>
      <w:r>
        <w:rPr>
          <w:rFonts w:ascii="Palatino Linotype" w:hAnsi="Palatino Linotype" w:cs="Arial"/>
        </w:rPr>
        <w:t xml:space="preserve"> </w:t>
      </w:r>
      <w:r>
        <w:rPr>
          <w:rFonts w:ascii="Palatino Linotype" w:hAnsi="Palatino Linotype" w:cs="Arial"/>
          <w:b/>
        </w:rPr>
        <w:t>RECURRENTE</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confirmara o modificara la clasificación; sin embargo, sólo realizó un </w:t>
      </w:r>
      <w:r>
        <w:rPr>
          <w:rFonts w:ascii="Palatino Linotype" w:hAnsi="Palatino Linotype" w:cs="Arial"/>
        </w:rPr>
        <w:lastRenderedPageBreak/>
        <w:t xml:space="preserve">pronunciamiento en torno a que la información entregada correspondía a la única con la que contaba en su archivo. </w:t>
      </w:r>
    </w:p>
    <w:p w:rsidR="006D4A9F" w:rsidRDefault="006D4A9F" w:rsidP="006D4A9F">
      <w:pPr>
        <w:spacing w:before="100" w:beforeAutospacing="1" w:after="100" w:afterAutospacing="1" w:line="360" w:lineRule="auto"/>
        <w:jc w:val="both"/>
        <w:rPr>
          <w:rFonts w:ascii="Palatino Linotype" w:hAnsi="Palatino Linotype"/>
        </w:rPr>
      </w:pPr>
      <w:r>
        <w:rPr>
          <w:rFonts w:ascii="Palatino Linotype" w:hAnsi="Palatino Linotype"/>
        </w:rPr>
        <w:t xml:space="preserve">Tal situación es así ya que, del análisis realizado por la propia Ponencia </w:t>
      </w:r>
      <w:proofErr w:type="spellStart"/>
      <w:r>
        <w:rPr>
          <w:rFonts w:ascii="Palatino Linotype" w:hAnsi="Palatino Linotype"/>
        </w:rPr>
        <w:t>Resolutora</w:t>
      </w:r>
      <w:proofErr w:type="spellEnd"/>
      <w:r>
        <w:rPr>
          <w:rFonts w:ascii="Palatino Linotype" w:hAnsi="Palatino Linotype"/>
        </w:rPr>
        <w:t xml:space="preserve"> se advierte que existe fuente obligacional que constriñe al </w:t>
      </w:r>
      <w:r>
        <w:rPr>
          <w:rFonts w:ascii="Palatino Linotype" w:hAnsi="Palatino Linotype"/>
          <w:b/>
        </w:rPr>
        <w:t xml:space="preserve">SUJETO OBLIGADO </w:t>
      </w:r>
      <w:r>
        <w:rPr>
          <w:rFonts w:ascii="Palatino Linotype" w:hAnsi="Palatino Linotype"/>
        </w:rPr>
        <w:t>para poseer la información en el ejercicio de sus funciones y en consecuencia determinó ordenar el Acuerdo de Clasificación debidamente fundado y motivado emitido por su Comité de Transparencia; por lo que, es necesario referir que si bien los Sujetos Obligados están facultados a emitir los Acuerdos de Clasificación de la información cuando se actualice alguno de los supuestos previstos en la Ley de la materia, lo cierto es que es necesario que se sustente con la emisión de un Acuerdo por parte de su Comité de Transparencia en el que de manera fundada y motivada se expresen las razones por las cuales operó dicha clasificación; de lo contrario, se estaría dejando en incertidumbre jurídica a los particulares, del porque no se otorga el acceso a dichos documentos.</w:t>
      </w:r>
    </w:p>
    <w:p w:rsidR="006D4A9F" w:rsidRPr="008E441A" w:rsidRDefault="006D4A9F" w:rsidP="006D4A9F">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En conclusión, </w:t>
      </w:r>
      <w:r w:rsidRPr="009D3429">
        <w:rPr>
          <w:rFonts w:ascii="Palatino Linotype" w:hAnsi="Palatino Linotype"/>
        </w:rPr>
        <w:t xml:space="preserve">la que suscribe emite </w:t>
      </w:r>
      <w:r w:rsidRPr="009D3429">
        <w:rPr>
          <w:rFonts w:ascii="Palatino Linotype" w:hAnsi="Palatino Linotype"/>
          <w:b/>
        </w:rPr>
        <w:t>VOTO PARTICULAR</w:t>
      </w:r>
      <w:r w:rsidRPr="009D3429">
        <w:rPr>
          <w:rFonts w:ascii="Palatino Linotype" w:hAnsi="Palatino Linotype"/>
        </w:rPr>
        <w:t xml:space="preserve"> ya que lo anterior, resulta aún más evidente debido a que el proyecto sometido a votación del Pleno planteó establecer la entrega a</w:t>
      </w:r>
      <w:r>
        <w:rPr>
          <w:rFonts w:ascii="Palatino Linotype" w:hAnsi="Palatino Linotype"/>
        </w:rPr>
        <w:t>l</w:t>
      </w:r>
      <w:r w:rsidRPr="009D3429">
        <w:rPr>
          <w:rFonts w:ascii="Palatino Linotype" w:hAnsi="Palatino Linotype"/>
        </w:rPr>
        <w:t xml:space="preserve"> </w:t>
      </w:r>
      <w:r w:rsidRPr="009D3429">
        <w:rPr>
          <w:rFonts w:ascii="Palatino Linotype" w:hAnsi="Palatino Linotype"/>
          <w:b/>
        </w:rPr>
        <w:t>RECURRENTE</w:t>
      </w:r>
      <w:r>
        <w:rPr>
          <w:rFonts w:ascii="Palatino Linotype" w:hAnsi="Palatino Linotype"/>
        </w:rPr>
        <w:t xml:space="preserve"> del Acuerdo de Clasificación que no fue remitido dentro de la respuesta; </w:t>
      </w:r>
      <w:r>
        <w:rPr>
          <w:rFonts w:ascii="Palatino Linotype" w:hAnsi="Palatino Linotype" w:cs="Arial"/>
        </w:rPr>
        <w:t>es decir,</w:t>
      </w:r>
      <w:r w:rsidRPr="009D3429">
        <w:rPr>
          <w:rFonts w:ascii="Palatino Linotype" w:hAnsi="Palatino Linotype" w:cs="Arial"/>
        </w:rPr>
        <w:t xml:space="preserve"> </w:t>
      </w:r>
      <w:r w:rsidRPr="00744BA7">
        <w:rPr>
          <w:rFonts w:ascii="Palatino Linotype" w:hAnsi="Palatino Linotype" w:cs="Arial"/>
          <w:b/>
        </w:rPr>
        <w:t xml:space="preserve">EL </w:t>
      </w:r>
      <w:r w:rsidRPr="009D3429">
        <w:rPr>
          <w:rFonts w:ascii="Palatino Linotype" w:hAnsi="Palatino Linotype" w:cs="Arial"/>
          <w:b/>
        </w:rPr>
        <w:t>SUJETO OBLIGADO</w:t>
      </w:r>
      <w:r w:rsidRPr="009D3429">
        <w:rPr>
          <w:rFonts w:ascii="Palatino Linotype" w:hAnsi="Palatino Linotype" w:cs="Arial"/>
        </w:rPr>
        <w:t xml:space="preserve"> no </w:t>
      </w:r>
      <w:r>
        <w:rPr>
          <w:rFonts w:ascii="Palatino Linotype" w:hAnsi="Palatino Linotype" w:cs="Arial"/>
        </w:rPr>
        <w:t>satisfizo</w:t>
      </w:r>
      <w:r w:rsidRPr="009D3429">
        <w:rPr>
          <w:rFonts w:ascii="Palatino Linotype" w:hAnsi="Palatino Linotype" w:cs="Arial"/>
        </w:rPr>
        <w:t xml:space="preserve"> ni total ni parcialmente lo requerido; por lo tanto, </w:t>
      </w:r>
      <w:r>
        <w:rPr>
          <w:rFonts w:ascii="Palatino Linotype" w:hAnsi="Palatino Linotype" w:cs="Arial"/>
        </w:rPr>
        <w:t>se reitera que</w:t>
      </w:r>
      <w:r w:rsidRPr="009D3429">
        <w:rPr>
          <w:rFonts w:ascii="Palatino Linotype" w:hAnsi="Palatino Linotype" w:cs="Arial"/>
        </w:rPr>
        <w:t xml:space="preserve">, lo conducente era </w:t>
      </w:r>
      <w:r w:rsidRPr="009D3429">
        <w:rPr>
          <w:rFonts w:ascii="Palatino Linotype" w:hAnsi="Palatino Linotype" w:cs="Arial"/>
          <w:b/>
        </w:rPr>
        <w:t>REVOCAR</w:t>
      </w:r>
      <w:r w:rsidRPr="009D3429">
        <w:rPr>
          <w:rFonts w:ascii="Palatino Linotype" w:hAnsi="Palatino Linotype" w:cs="Arial"/>
        </w:rPr>
        <w:t xml:space="preserve"> la respuesta del </w:t>
      </w:r>
      <w:r w:rsidRPr="009D3429">
        <w:rPr>
          <w:rFonts w:ascii="Palatino Linotype" w:hAnsi="Palatino Linotype" w:cs="Arial"/>
          <w:b/>
        </w:rPr>
        <w:t>SUJETO OBLIGADO</w:t>
      </w:r>
      <w:r>
        <w:rPr>
          <w:rFonts w:ascii="Palatino Linotype" w:hAnsi="Palatino Linotype" w:cs="Arial"/>
        </w:rPr>
        <w:t xml:space="preserve">, y por otra parte, respecto a la normatividad señalada en el resolutivo QUINTO de la resolución de mérito, la suscrita considera que </w:t>
      </w:r>
      <w:r>
        <w:rPr>
          <w:rFonts w:ascii="Palatino Linotype" w:hAnsi="Palatino Linotype" w:cs="Arial"/>
        </w:rPr>
        <w:lastRenderedPageBreak/>
        <w:t>no se debieron invocar dichos artículos;</w:t>
      </w:r>
      <w:r>
        <w:rPr>
          <w:rFonts w:ascii="Palatino Linotype" w:hAnsi="Palatino Linotype"/>
        </w:rPr>
        <w:t xml:space="preserve"> </w:t>
      </w:r>
      <w:r>
        <w:rPr>
          <w:rFonts w:ascii="Palatino Linotype" w:hAnsi="Palatino Linotype" w:cs="Arial"/>
        </w:rPr>
        <w:t xml:space="preserve">pues se insiste, que de las constancias del expediente no se advierten actos que encuadren en los supuestos legales señalados en los numerales 159 y 160 de la Ley General de Transparencia y Acceso a la Información Pública, pues </w:t>
      </w:r>
      <w:r>
        <w:rPr>
          <w:rFonts w:ascii="Palatino Linotype" w:hAnsi="Palatino Linotype" w:cs="Arial"/>
          <w:b/>
        </w:rPr>
        <w:t xml:space="preserve">EL SUJETO OBLIGADO </w:t>
      </w:r>
      <w:r>
        <w:rPr>
          <w:rFonts w:ascii="Palatino Linotype" w:hAnsi="Palatino Linotype" w:cs="Arial"/>
        </w:rPr>
        <w:t>no declaró la clasificación de la información a través de un Acuerdo emitido por el Comité de Transparencia en términos de los artículos 3, fracción XXIV y 140, fracción VIII de la Ley de Transparencia y Acceso a la Información Pública del Estado de México y Municipios, por lo que es</w:t>
      </w:r>
      <w:r w:rsidR="00C94E50">
        <w:rPr>
          <w:rFonts w:ascii="Palatino Linotype" w:hAnsi="Palatino Linotype" w:cs="Arial"/>
        </w:rPr>
        <w:t>te Instituto no confirmó dicha</w:t>
      </w:r>
      <w:r>
        <w:rPr>
          <w:rFonts w:ascii="Palatino Linotype" w:hAnsi="Palatino Linotype" w:cs="Arial"/>
        </w:rPr>
        <w:t xml:space="preserve"> clasificación formal de la información requerida.</w:t>
      </w:r>
    </w:p>
    <w:tbl>
      <w:tblPr>
        <w:tblW w:w="2896" w:type="dxa"/>
        <w:jc w:val="center"/>
        <w:tblLayout w:type="fixed"/>
        <w:tblLook w:val="04A0" w:firstRow="1" w:lastRow="0" w:firstColumn="1" w:lastColumn="0" w:noHBand="0" w:noVBand="1"/>
      </w:tblPr>
      <w:tblGrid>
        <w:gridCol w:w="2896"/>
      </w:tblGrid>
      <w:tr w:rsidR="006D4A9F" w:rsidRPr="009D3429" w:rsidTr="0075431C">
        <w:trPr>
          <w:trHeight w:val="913"/>
          <w:jc w:val="center"/>
        </w:trPr>
        <w:tc>
          <w:tcPr>
            <w:tcW w:w="2896" w:type="dxa"/>
            <w:vAlign w:val="center"/>
          </w:tcPr>
          <w:p w:rsidR="006D4A9F" w:rsidRDefault="006D4A9F" w:rsidP="0075431C">
            <w:pPr>
              <w:jc w:val="center"/>
              <w:rPr>
                <w:rFonts w:ascii="Palatino Linotype" w:hAnsi="Palatino Linotype" w:cs="Arial"/>
                <w:b/>
              </w:rPr>
            </w:pPr>
          </w:p>
          <w:p w:rsidR="006D4A9F" w:rsidRDefault="006D4A9F" w:rsidP="0075431C">
            <w:pPr>
              <w:jc w:val="center"/>
              <w:rPr>
                <w:rFonts w:ascii="Palatino Linotype" w:hAnsi="Palatino Linotype" w:cs="Arial"/>
                <w:b/>
              </w:rPr>
            </w:pPr>
          </w:p>
          <w:p w:rsidR="006D4A9F" w:rsidRDefault="006D4A9F" w:rsidP="0075431C">
            <w:pPr>
              <w:jc w:val="center"/>
              <w:rPr>
                <w:rFonts w:ascii="Palatino Linotype" w:hAnsi="Palatino Linotype" w:cs="Arial"/>
                <w:b/>
              </w:rPr>
            </w:pPr>
          </w:p>
          <w:p w:rsidR="006D4A9F" w:rsidRDefault="006D4A9F" w:rsidP="0075431C">
            <w:pPr>
              <w:jc w:val="center"/>
              <w:rPr>
                <w:rFonts w:ascii="Palatino Linotype" w:hAnsi="Palatino Linotype" w:cs="Arial"/>
                <w:b/>
              </w:rPr>
            </w:pPr>
          </w:p>
          <w:p w:rsidR="006D4A9F" w:rsidRDefault="006D4A9F" w:rsidP="0075431C">
            <w:pPr>
              <w:jc w:val="center"/>
              <w:rPr>
                <w:rFonts w:ascii="Palatino Linotype" w:hAnsi="Palatino Linotype" w:cs="Arial"/>
                <w:b/>
              </w:rPr>
            </w:pPr>
          </w:p>
          <w:p w:rsidR="006D4A9F" w:rsidRDefault="006D4A9F" w:rsidP="0075431C">
            <w:pPr>
              <w:jc w:val="center"/>
              <w:rPr>
                <w:rFonts w:ascii="Palatino Linotype" w:hAnsi="Palatino Linotype" w:cs="Arial"/>
                <w:b/>
              </w:rPr>
            </w:pPr>
          </w:p>
          <w:p w:rsidR="006D4A9F" w:rsidRDefault="006D4A9F" w:rsidP="0075431C">
            <w:pPr>
              <w:jc w:val="center"/>
              <w:rPr>
                <w:rFonts w:ascii="Palatino Linotype" w:hAnsi="Palatino Linotype" w:cs="Arial"/>
                <w:b/>
              </w:rPr>
            </w:pPr>
          </w:p>
          <w:p w:rsidR="006D4A9F" w:rsidRDefault="006D4A9F" w:rsidP="0075431C">
            <w:pPr>
              <w:jc w:val="center"/>
              <w:rPr>
                <w:rFonts w:ascii="Palatino Linotype" w:hAnsi="Palatino Linotype" w:cs="Arial"/>
                <w:b/>
              </w:rPr>
            </w:pPr>
          </w:p>
          <w:p w:rsidR="006D4A9F" w:rsidRDefault="006D4A9F" w:rsidP="0075431C">
            <w:pPr>
              <w:jc w:val="center"/>
              <w:rPr>
                <w:rFonts w:ascii="Palatino Linotype" w:hAnsi="Palatino Linotype" w:cs="Arial"/>
                <w:b/>
              </w:rPr>
            </w:pPr>
          </w:p>
          <w:p w:rsidR="006D4A9F" w:rsidRDefault="006D4A9F" w:rsidP="0075431C">
            <w:pPr>
              <w:jc w:val="center"/>
              <w:rPr>
                <w:rFonts w:ascii="Palatino Linotype" w:hAnsi="Palatino Linotype" w:cs="Arial"/>
                <w:b/>
              </w:rPr>
            </w:pPr>
          </w:p>
          <w:p w:rsidR="006D4A9F" w:rsidRDefault="006D4A9F" w:rsidP="0075431C">
            <w:pPr>
              <w:jc w:val="center"/>
              <w:rPr>
                <w:rFonts w:ascii="Palatino Linotype" w:hAnsi="Palatino Linotype" w:cs="Arial"/>
                <w:b/>
              </w:rPr>
            </w:pPr>
          </w:p>
          <w:p w:rsidR="006D4A9F" w:rsidRDefault="006D4A9F" w:rsidP="0075431C">
            <w:pPr>
              <w:jc w:val="center"/>
              <w:rPr>
                <w:rFonts w:ascii="Palatino Linotype" w:hAnsi="Palatino Linotype" w:cs="Arial"/>
                <w:b/>
              </w:rPr>
            </w:pPr>
          </w:p>
          <w:p w:rsidR="006D4A9F" w:rsidRPr="009D3429" w:rsidRDefault="006D4A9F" w:rsidP="0075431C">
            <w:pPr>
              <w:jc w:val="center"/>
              <w:rPr>
                <w:rFonts w:ascii="Palatino Linotype" w:hAnsi="Palatino Linotype" w:cs="Arial"/>
                <w:b/>
              </w:rPr>
            </w:pPr>
            <w:r w:rsidRPr="009D3429">
              <w:rPr>
                <w:rFonts w:ascii="Palatino Linotype" w:hAnsi="Palatino Linotype" w:cs="Arial"/>
                <w:b/>
              </w:rPr>
              <w:t>EVA ABAID YAPUR</w:t>
            </w:r>
          </w:p>
          <w:p w:rsidR="006D4A9F" w:rsidRDefault="006D4A9F" w:rsidP="00C94E50">
            <w:pPr>
              <w:jc w:val="center"/>
              <w:rPr>
                <w:rFonts w:ascii="Palatino Linotype" w:hAnsi="Palatino Linotype" w:cs="Arial"/>
                <w:b/>
              </w:rPr>
            </w:pPr>
            <w:r w:rsidRPr="009D3429">
              <w:rPr>
                <w:rFonts w:ascii="Palatino Linotype" w:hAnsi="Palatino Linotype" w:cs="Arial"/>
                <w:b/>
              </w:rPr>
              <w:t>COMISIONADA</w:t>
            </w:r>
          </w:p>
          <w:p w:rsidR="00C06A3D" w:rsidRPr="009D3429" w:rsidRDefault="00C06A3D" w:rsidP="00C94E50">
            <w:pPr>
              <w:jc w:val="center"/>
              <w:rPr>
                <w:rFonts w:ascii="Palatino Linotype" w:hAnsi="Palatino Linotype" w:cs="Arial"/>
                <w:b/>
              </w:rPr>
            </w:pPr>
            <w:r>
              <w:rPr>
                <w:rFonts w:ascii="Palatino Linotype" w:hAnsi="Palatino Linotype"/>
                <w:b/>
              </w:rPr>
              <w:t>(RÚBRICA)</w:t>
            </w:r>
          </w:p>
        </w:tc>
      </w:tr>
    </w:tbl>
    <w:p w:rsidR="006D4A9F" w:rsidRDefault="006D4A9F" w:rsidP="006D4A9F">
      <w:pPr>
        <w:jc w:val="both"/>
        <w:rPr>
          <w:rFonts w:ascii="Palatino Linotype" w:eastAsia="Calibri" w:hAnsi="Palatino Linotype" w:cs="Arial"/>
          <w:color w:val="000000" w:themeColor="text1"/>
          <w:sz w:val="18"/>
        </w:rPr>
      </w:pPr>
    </w:p>
    <w:p w:rsidR="006D4A9F" w:rsidRDefault="006D4A9F" w:rsidP="006D4A9F">
      <w:pPr>
        <w:jc w:val="both"/>
        <w:rPr>
          <w:rFonts w:ascii="Palatino Linotype" w:eastAsia="Calibri" w:hAnsi="Palatino Linotype" w:cs="Arial"/>
          <w:color w:val="000000" w:themeColor="text1"/>
          <w:sz w:val="18"/>
        </w:rPr>
      </w:pPr>
    </w:p>
    <w:p w:rsidR="00C94E50" w:rsidRDefault="00C94E50" w:rsidP="006D4A9F">
      <w:pPr>
        <w:jc w:val="both"/>
        <w:rPr>
          <w:rFonts w:ascii="Palatino Linotype" w:eastAsia="Calibri" w:hAnsi="Palatino Linotype" w:cs="Arial"/>
          <w:color w:val="000000" w:themeColor="text1"/>
          <w:sz w:val="18"/>
        </w:rPr>
      </w:pPr>
      <w:bookmarkStart w:id="0" w:name="_GoBack"/>
      <w:bookmarkEnd w:id="0"/>
    </w:p>
    <w:p w:rsidR="00C94E50" w:rsidRDefault="00C94E50" w:rsidP="006D4A9F">
      <w:pPr>
        <w:jc w:val="both"/>
        <w:rPr>
          <w:rFonts w:ascii="Palatino Linotype" w:eastAsia="Calibri" w:hAnsi="Palatino Linotype" w:cs="Arial"/>
          <w:color w:val="000000" w:themeColor="text1"/>
          <w:sz w:val="18"/>
        </w:rPr>
      </w:pPr>
    </w:p>
    <w:p w:rsidR="006D4A9F" w:rsidRPr="006D4A9F" w:rsidRDefault="006D4A9F" w:rsidP="006D4A9F">
      <w:pPr>
        <w:jc w:val="both"/>
        <w:rPr>
          <w:rFonts w:ascii="Palatino Linotype" w:eastAsia="Calibri" w:hAnsi="Palatino Linotype" w:cs="Arial"/>
          <w:color w:val="000000" w:themeColor="text1"/>
          <w:sz w:val="20"/>
        </w:rPr>
      </w:pPr>
      <w:r w:rsidRPr="006D4A9F">
        <w:rPr>
          <w:rFonts w:ascii="Palatino Linotype" w:eastAsia="Calibri" w:hAnsi="Palatino Linotype" w:cs="Arial"/>
          <w:color w:val="000000" w:themeColor="text1"/>
          <w:sz w:val="20"/>
        </w:rPr>
        <w:t>Esta hoja corresponde al voto particular emitido en la resolución del recurso de revisión 0</w:t>
      </w:r>
      <w:r w:rsidR="007048DE">
        <w:rPr>
          <w:rFonts w:ascii="Palatino Linotype" w:eastAsia="Calibri" w:hAnsi="Palatino Linotype" w:cs="Arial"/>
          <w:color w:val="000000" w:themeColor="text1"/>
          <w:sz w:val="20"/>
        </w:rPr>
        <w:t>3483/INFOEM/IP/RR/2018, aprobada</w:t>
      </w:r>
      <w:r w:rsidRPr="006D4A9F">
        <w:rPr>
          <w:rFonts w:ascii="Palatino Linotype" w:eastAsia="Calibri" w:hAnsi="Palatino Linotype" w:cs="Arial"/>
          <w:color w:val="000000" w:themeColor="text1"/>
          <w:sz w:val="20"/>
        </w:rPr>
        <w:t xml:space="preserve"> el veintiocho de noviembre de dos mil dieciocho. </w:t>
      </w:r>
    </w:p>
    <w:p w:rsidR="006D4A9F" w:rsidRPr="006D4A9F" w:rsidRDefault="006D4A9F" w:rsidP="006D4A9F">
      <w:pPr>
        <w:jc w:val="both"/>
        <w:rPr>
          <w:rFonts w:ascii="Palatino Linotype" w:eastAsia="Calibri" w:hAnsi="Palatino Linotype" w:cs="Arial"/>
          <w:color w:val="000000" w:themeColor="text1"/>
          <w:sz w:val="8"/>
        </w:rPr>
      </w:pPr>
    </w:p>
    <w:p w:rsidR="00F15420" w:rsidRPr="006D4A9F" w:rsidRDefault="006D4A9F" w:rsidP="00C94E50">
      <w:pPr>
        <w:jc w:val="both"/>
        <w:rPr>
          <w:rFonts w:eastAsia="Calibri"/>
        </w:rPr>
      </w:pPr>
      <w:r w:rsidRPr="006D4A9F">
        <w:rPr>
          <w:rFonts w:ascii="Palatino Linotype" w:eastAsia="Calibri" w:hAnsi="Palatino Linotype" w:cs="Arial"/>
          <w:color w:val="000000" w:themeColor="text1"/>
          <w:sz w:val="20"/>
        </w:rPr>
        <w:t>YSM/IAHA</w:t>
      </w:r>
    </w:p>
    <w:sectPr w:rsidR="00F15420" w:rsidRPr="006D4A9F" w:rsidSect="00AF3382">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373" w:rsidRDefault="00C71373" w:rsidP="00C80F8C">
      <w:r>
        <w:separator/>
      </w:r>
    </w:p>
  </w:endnote>
  <w:endnote w:type="continuationSeparator" w:id="0">
    <w:p w:rsidR="00C71373" w:rsidRDefault="00C7137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AA00E0" w:rsidRDefault="00AA00E0" w:rsidP="003056D9">
    <w:pPr>
      <w:pStyle w:val="Piedepgina"/>
      <w:tabs>
        <w:tab w:val="clear" w:pos="4252"/>
        <w:tab w:val="left" w:pos="4228"/>
      </w:tabs>
      <w:rPr>
        <w:rFonts w:ascii="Palatino Linotype" w:hAnsi="Palatino Linotype" w:cs="Arial"/>
        <w:b/>
        <w:bCs/>
        <w:sz w:val="20"/>
        <w:szCs w:val="20"/>
      </w:rPr>
    </w:pPr>
  </w:p>
  <w:p w:rsidR="00AA00E0" w:rsidRDefault="00AA00E0" w:rsidP="003056D9">
    <w:pPr>
      <w:pStyle w:val="Piedepgina"/>
      <w:tabs>
        <w:tab w:val="clear" w:pos="4252"/>
        <w:tab w:val="left" w:pos="4228"/>
      </w:tabs>
      <w:rPr>
        <w:rFonts w:ascii="Palatino Linotype" w:hAnsi="Palatino Linotype" w:cs="Arial"/>
        <w:b/>
        <w:bCs/>
        <w:sz w:val="20"/>
        <w:szCs w:val="20"/>
      </w:rPr>
    </w:pPr>
  </w:p>
  <w:p w:rsidR="008A03F8" w:rsidRDefault="00AA00E0" w:rsidP="00AA00E0">
    <w:pPr>
      <w:pStyle w:val="Piedepgina"/>
      <w:tabs>
        <w:tab w:val="clear" w:pos="4252"/>
        <w:tab w:val="clear" w:pos="8504"/>
        <w:tab w:val="left" w:pos="2070"/>
      </w:tabs>
      <w:rPr>
        <w:rFonts w:ascii="Palatino Linotype" w:hAnsi="Palatino Linotype" w:cs="Arial"/>
        <w:b/>
        <w:bCs/>
        <w:sz w:val="20"/>
        <w:szCs w:val="20"/>
      </w:rPr>
    </w:pPr>
    <w:r>
      <w:rPr>
        <w:rFonts w:ascii="Palatino Linotype" w:hAnsi="Palatino Linotype" w:cs="Arial"/>
        <w:b/>
        <w:bCs/>
        <w:sz w:val="20"/>
        <w:szCs w:val="20"/>
      </w:rPr>
      <w:tab/>
    </w:r>
  </w:p>
  <w:p w:rsidR="008A03F8" w:rsidRPr="00F12350" w:rsidRDefault="008A03F8"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06A3D">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06A3D">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rsidR="008A03F8" w:rsidRDefault="008A03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373" w:rsidRDefault="00C71373" w:rsidP="00C80F8C">
      <w:r>
        <w:separator/>
      </w:r>
    </w:p>
  </w:footnote>
  <w:footnote w:type="continuationSeparator" w:id="0">
    <w:p w:rsidR="00C71373" w:rsidRDefault="00C71373"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C06A3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B85432">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58240" behindDoc="1" locked="0" layoutInCell="1" allowOverlap="1">
          <wp:simplePos x="0" y="0"/>
          <wp:positionH relativeFrom="column">
            <wp:posOffset>-660400</wp:posOffset>
          </wp:positionH>
          <wp:positionV relativeFrom="paragraph">
            <wp:posOffset>-328930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8A03F8" w:rsidRDefault="008A03F8" w:rsidP="00F7009C">
    <w:pPr>
      <w:pStyle w:val="Encabezado"/>
      <w:tabs>
        <w:tab w:val="clear" w:pos="4252"/>
        <w:tab w:val="clear" w:pos="8504"/>
        <w:tab w:val="left" w:pos="2326"/>
      </w:tabs>
      <w:ind w:right="-93"/>
      <w:jc w:val="right"/>
      <w:rPr>
        <w:rFonts w:ascii="Palatino Linotype" w:hAnsi="Palatino Linotype"/>
      </w:rPr>
    </w:pPr>
  </w:p>
  <w:p w:rsidR="008A03F8" w:rsidRDefault="008A03F8" w:rsidP="00F7009C">
    <w:pPr>
      <w:pStyle w:val="Encabezado"/>
      <w:tabs>
        <w:tab w:val="clear" w:pos="4252"/>
        <w:tab w:val="clear" w:pos="8504"/>
        <w:tab w:val="left" w:pos="2326"/>
      </w:tabs>
      <w:ind w:right="-93"/>
      <w:jc w:val="right"/>
      <w:rPr>
        <w:rFonts w:ascii="Palatino Linotype" w:hAnsi="Palatino Linotype" w:cs="Arial"/>
        <w:sz w:val="20"/>
        <w:szCs w:val="20"/>
      </w:rPr>
    </w:pPr>
  </w:p>
  <w:p w:rsidR="00B85432" w:rsidRDefault="00B85432" w:rsidP="00F7009C">
    <w:pPr>
      <w:pStyle w:val="Encabezado"/>
      <w:tabs>
        <w:tab w:val="clear" w:pos="4252"/>
        <w:tab w:val="clear" w:pos="8504"/>
        <w:tab w:val="left" w:pos="2326"/>
      </w:tabs>
      <w:ind w:right="-93"/>
      <w:jc w:val="right"/>
      <w:rPr>
        <w:rFonts w:ascii="Palatino Linotype" w:hAnsi="Palatino Linotype" w:cs="Arial"/>
        <w:sz w:val="20"/>
        <w:szCs w:val="20"/>
      </w:rPr>
    </w:pPr>
    <w:r w:rsidRPr="00B85432">
      <w:rPr>
        <w:rFonts w:ascii="Palatino Linotype" w:hAnsi="Palatino Linotype" w:cs="Arial"/>
        <w:sz w:val="20"/>
        <w:szCs w:val="20"/>
      </w:rPr>
      <w:t>VOTO PARTICULAR</w:t>
    </w:r>
  </w:p>
  <w:p w:rsidR="00B85432" w:rsidRDefault="00B85432" w:rsidP="00B85432">
    <w:pPr>
      <w:pStyle w:val="Encabezado"/>
      <w:tabs>
        <w:tab w:val="clear" w:pos="4252"/>
        <w:tab w:val="clear" w:pos="8504"/>
        <w:tab w:val="left" w:pos="2326"/>
      </w:tabs>
      <w:ind w:right="-93"/>
      <w:jc w:val="right"/>
      <w:rPr>
        <w:rFonts w:ascii="Palatino Linotype" w:hAnsi="Palatino Linotype"/>
      </w:rPr>
    </w:pPr>
    <w:r w:rsidRPr="00706042">
      <w:rPr>
        <w:rFonts w:ascii="Palatino Linotype" w:hAnsi="Palatino Linotype" w:cs="Arial"/>
        <w:sz w:val="20"/>
        <w:szCs w:val="20"/>
      </w:rPr>
      <w:t xml:space="preserve">RECURSO DE REVISIÓN </w:t>
    </w:r>
    <w:r w:rsidR="006D4A9F">
      <w:rPr>
        <w:rFonts w:ascii="Palatino Linotype" w:hAnsi="Palatino Linotype" w:cs="Arial"/>
        <w:sz w:val="20"/>
        <w:szCs w:val="20"/>
      </w:rPr>
      <w:t>03483</w:t>
    </w:r>
    <w:r>
      <w:rPr>
        <w:rFonts w:ascii="Palatino Linotype" w:hAnsi="Palatino Linotype" w:cs="Arial"/>
        <w:sz w:val="20"/>
        <w:szCs w:val="20"/>
      </w:rPr>
      <w:t>/INFOEM/IP</w:t>
    </w:r>
    <w:r w:rsidRPr="00706042">
      <w:rPr>
        <w:rFonts w:ascii="Palatino Linotype" w:hAnsi="Palatino Linotype" w:cs="Arial"/>
        <w:sz w:val="20"/>
        <w:szCs w:val="20"/>
      </w:rPr>
      <w:t>/RR/201</w:t>
    </w:r>
    <w:r>
      <w:rPr>
        <w:rFonts w:ascii="Palatino Linotype" w:hAnsi="Palatino Linotype" w:cs="Arial"/>
        <w:sz w:val="20"/>
        <w:szCs w:val="20"/>
      </w:rPr>
      <w:t>8</w:t>
    </w:r>
  </w:p>
  <w:p w:rsidR="00AA00E0" w:rsidRDefault="00C06A3D" w:rsidP="00B85432">
    <w:pPr>
      <w:pStyle w:val="Encabezado"/>
      <w:tabs>
        <w:tab w:val="clear" w:pos="4252"/>
        <w:tab w:val="clear" w:pos="8504"/>
        <w:tab w:val="left" w:pos="2326"/>
      </w:tabs>
      <w:ind w:right="-93"/>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4.65pt;height:82.35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C06A3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F61522"/>
    <w:multiLevelType w:val="hybridMultilevel"/>
    <w:tmpl w:val="D9A2A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5" w15:restartNumberingAfterBreak="0">
    <w:nsid w:val="431C4517"/>
    <w:multiLevelType w:val="hybridMultilevel"/>
    <w:tmpl w:val="8E721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68D927AA"/>
    <w:multiLevelType w:val="hybridMultilevel"/>
    <w:tmpl w:val="C80CEAB6"/>
    <w:lvl w:ilvl="0" w:tplc="9F7ABAC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69025274"/>
    <w:multiLevelType w:val="hybridMultilevel"/>
    <w:tmpl w:val="F3468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2"/>
  </w:num>
  <w:num w:numId="2">
    <w:abstractNumId w:val="1"/>
  </w:num>
  <w:num w:numId="3">
    <w:abstractNumId w:val="4"/>
  </w:num>
  <w:num w:numId="4">
    <w:abstractNumId w:val="0"/>
  </w:num>
  <w:num w:numId="5">
    <w:abstractNumId w:val="10"/>
  </w:num>
  <w:num w:numId="6">
    <w:abstractNumId w:val="7"/>
  </w:num>
  <w:num w:numId="7">
    <w:abstractNumId w:val="11"/>
  </w:num>
  <w:num w:numId="8">
    <w:abstractNumId w:val="6"/>
  </w:num>
  <w:num w:numId="9">
    <w:abstractNumId w:val="8"/>
  </w:num>
  <w:num w:numId="10">
    <w:abstractNumId w:val="3"/>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6B66"/>
    <w:rsid w:val="0001751C"/>
    <w:rsid w:val="00017D16"/>
    <w:rsid w:val="000412FB"/>
    <w:rsid w:val="00055107"/>
    <w:rsid w:val="0006079D"/>
    <w:rsid w:val="0007653D"/>
    <w:rsid w:val="00082101"/>
    <w:rsid w:val="0008542A"/>
    <w:rsid w:val="0008745A"/>
    <w:rsid w:val="00092678"/>
    <w:rsid w:val="00095B30"/>
    <w:rsid w:val="000B3FFD"/>
    <w:rsid w:val="000C1A85"/>
    <w:rsid w:val="000C2CF9"/>
    <w:rsid w:val="000C4453"/>
    <w:rsid w:val="000D136C"/>
    <w:rsid w:val="000D66DE"/>
    <w:rsid w:val="000E2B1A"/>
    <w:rsid w:val="000E4C17"/>
    <w:rsid w:val="00102EEC"/>
    <w:rsid w:val="0010583C"/>
    <w:rsid w:val="001059D0"/>
    <w:rsid w:val="00117749"/>
    <w:rsid w:val="001215FC"/>
    <w:rsid w:val="00123644"/>
    <w:rsid w:val="00136F2D"/>
    <w:rsid w:val="0013735C"/>
    <w:rsid w:val="00140058"/>
    <w:rsid w:val="00161C25"/>
    <w:rsid w:val="001749F7"/>
    <w:rsid w:val="00175DEE"/>
    <w:rsid w:val="00187FFD"/>
    <w:rsid w:val="001950C9"/>
    <w:rsid w:val="001A5699"/>
    <w:rsid w:val="001D3F57"/>
    <w:rsid w:val="001E388F"/>
    <w:rsid w:val="001E757E"/>
    <w:rsid w:val="001E763C"/>
    <w:rsid w:val="00220AB6"/>
    <w:rsid w:val="00224957"/>
    <w:rsid w:val="002314AA"/>
    <w:rsid w:val="0023504D"/>
    <w:rsid w:val="00237A37"/>
    <w:rsid w:val="0024119C"/>
    <w:rsid w:val="0025202C"/>
    <w:rsid w:val="002562CC"/>
    <w:rsid w:val="00260589"/>
    <w:rsid w:val="00265F75"/>
    <w:rsid w:val="002940F8"/>
    <w:rsid w:val="002B0148"/>
    <w:rsid w:val="002B7856"/>
    <w:rsid w:val="002D3BBD"/>
    <w:rsid w:val="002D4526"/>
    <w:rsid w:val="002D69E1"/>
    <w:rsid w:val="002E5711"/>
    <w:rsid w:val="002F5CF7"/>
    <w:rsid w:val="0030072F"/>
    <w:rsid w:val="003031E1"/>
    <w:rsid w:val="003056D9"/>
    <w:rsid w:val="003102FA"/>
    <w:rsid w:val="003169F5"/>
    <w:rsid w:val="0033370B"/>
    <w:rsid w:val="0034309A"/>
    <w:rsid w:val="00351129"/>
    <w:rsid w:val="0037321B"/>
    <w:rsid w:val="003A6F70"/>
    <w:rsid w:val="003B03E0"/>
    <w:rsid w:val="003C23BE"/>
    <w:rsid w:val="003C28FC"/>
    <w:rsid w:val="003C2D10"/>
    <w:rsid w:val="003C7226"/>
    <w:rsid w:val="003D1C14"/>
    <w:rsid w:val="003E7C23"/>
    <w:rsid w:val="003F0C49"/>
    <w:rsid w:val="003F4C9C"/>
    <w:rsid w:val="0040475C"/>
    <w:rsid w:val="00410D1F"/>
    <w:rsid w:val="0041327F"/>
    <w:rsid w:val="00414E48"/>
    <w:rsid w:val="00414E7B"/>
    <w:rsid w:val="004179B7"/>
    <w:rsid w:val="004221D4"/>
    <w:rsid w:val="004315BB"/>
    <w:rsid w:val="00435F66"/>
    <w:rsid w:val="0044271B"/>
    <w:rsid w:val="00443646"/>
    <w:rsid w:val="0044475B"/>
    <w:rsid w:val="00455CB3"/>
    <w:rsid w:val="00460257"/>
    <w:rsid w:val="004661D2"/>
    <w:rsid w:val="004776FF"/>
    <w:rsid w:val="00493D28"/>
    <w:rsid w:val="004B7325"/>
    <w:rsid w:val="004C40EA"/>
    <w:rsid w:val="004C64D9"/>
    <w:rsid w:val="004D0A26"/>
    <w:rsid w:val="004E02CE"/>
    <w:rsid w:val="004E729A"/>
    <w:rsid w:val="004F0BA3"/>
    <w:rsid w:val="004F206F"/>
    <w:rsid w:val="00500FFD"/>
    <w:rsid w:val="00506565"/>
    <w:rsid w:val="00516914"/>
    <w:rsid w:val="00522F6A"/>
    <w:rsid w:val="005236B6"/>
    <w:rsid w:val="005318AB"/>
    <w:rsid w:val="005321E3"/>
    <w:rsid w:val="00552317"/>
    <w:rsid w:val="0055590B"/>
    <w:rsid w:val="00562649"/>
    <w:rsid w:val="00575235"/>
    <w:rsid w:val="0058067E"/>
    <w:rsid w:val="0058639E"/>
    <w:rsid w:val="005870DF"/>
    <w:rsid w:val="0058776D"/>
    <w:rsid w:val="00592A18"/>
    <w:rsid w:val="005B773B"/>
    <w:rsid w:val="005C66D4"/>
    <w:rsid w:val="005D14C4"/>
    <w:rsid w:val="005D1946"/>
    <w:rsid w:val="00612544"/>
    <w:rsid w:val="0061616C"/>
    <w:rsid w:val="006301B2"/>
    <w:rsid w:val="006338F2"/>
    <w:rsid w:val="00634485"/>
    <w:rsid w:val="0063673D"/>
    <w:rsid w:val="00645B0C"/>
    <w:rsid w:val="00646A97"/>
    <w:rsid w:val="00663A16"/>
    <w:rsid w:val="00672211"/>
    <w:rsid w:val="00680208"/>
    <w:rsid w:val="006824EF"/>
    <w:rsid w:val="00683A81"/>
    <w:rsid w:val="00684492"/>
    <w:rsid w:val="00694EB3"/>
    <w:rsid w:val="00695DA7"/>
    <w:rsid w:val="006967D4"/>
    <w:rsid w:val="006A496D"/>
    <w:rsid w:val="006B59E1"/>
    <w:rsid w:val="006C0991"/>
    <w:rsid w:val="006D21B1"/>
    <w:rsid w:val="006D4A9F"/>
    <w:rsid w:val="006D6457"/>
    <w:rsid w:val="006E6389"/>
    <w:rsid w:val="006F30F8"/>
    <w:rsid w:val="007048DE"/>
    <w:rsid w:val="00712BC2"/>
    <w:rsid w:val="0071346B"/>
    <w:rsid w:val="007216EA"/>
    <w:rsid w:val="00721966"/>
    <w:rsid w:val="00723D18"/>
    <w:rsid w:val="00724599"/>
    <w:rsid w:val="00736C06"/>
    <w:rsid w:val="007416E3"/>
    <w:rsid w:val="00742010"/>
    <w:rsid w:val="00744D22"/>
    <w:rsid w:val="00772360"/>
    <w:rsid w:val="007747E6"/>
    <w:rsid w:val="0078087A"/>
    <w:rsid w:val="007957C4"/>
    <w:rsid w:val="007A4AB6"/>
    <w:rsid w:val="007B2ACC"/>
    <w:rsid w:val="007B52C8"/>
    <w:rsid w:val="007B6E55"/>
    <w:rsid w:val="007C0FDA"/>
    <w:rsid w:val="007C3C0E"/>
    <w:rsid w:val="007C4E7D"/>
    <w:rsid w:val="007D0FEE"/>
    <w:rsid w:val="0080087A"/>
    <w:rsid w:val="0081298B"/>
    <w:rsid w:val="008217CD"/>
    <w:rsid w:val="00827787"/>
    <w:rsid w:val="00832B51"/>
    <w:rsid w:val="00835ADD"/>
    <w:rsid w:val="00846A21"/>
    <w:rsid w:val="008556C3"/>
    <w:rsid w:val="008562AB"/>
    <w:rsid w:val="00870BFA"/>
    <w:rsid w:val="00873969"/>
    <w:rsid w:val="0087455A"/>
    <w:rsid w:val="00892AFC"/>
    <w:rsid w:val="008A03F8"/>
    <w:rsid w:val="008B0D27"/>
    <w:rsid w:val="008C0700"/>
    <w:rsid w:val="008C0C70"/>
    <w:rsid w:val="008C17F2"/>
    <w:rsid w:val="008D1526"/>
    <w:rsid w:val="008D584A"/>
    <w:rsid w:val="008E1FCA"/>
    <w:rsid w:val="008E3D9C"/>
    <w:rsid w:val="009141A6"/>
    <w:rsid w:val="00926A92"/>
    <w:rsid w:val="0093343E"/>
    <w:rsid w:val="00953EC8"/>
    <w:rsid w:val="00955551"/>
    <w:rsid w:val="00957456"/>
    <w:rsid w:val="00966E59"/>
    <w:rsid w:val="00975AA3"/>
    <w:rsid w:val="00975EB9"/>
    <w:rsid w:val="00976BAB"/>
    <w:rsid w:val="009773AF"/>
    <w:rsid w:val="00983759"/>
    <w:rsid w:val="00986740"/>
    <w:rsid w:val="009A271C"/>
    <w:rsid w:val="009A67F5"/>
    <w:rsid w:val="009B65F4"/>
    <w:rsid w:val="009C2F32"/>
    <w:rsid w:val="009C46BF"/>
    <w:rsid w:val="009C4EFA"/>
    <w:rsid w:val="009C73B7"/>
    <w:rsid w:val="009D0AB3"/>
    <w:rsid w:val="009D3292"/>
    <w:rsid w:val="009D63A9"/>
    <w:rsid w:val="009E40FB"/>
    <w:rsid w:val="009E5EDA"/>
    <w:rsid w:val="009F4A4A"/>
    <w:rsid w:val="00A032F1"/>
    <w:rsid w:val="00A04C79"/>
    <w:rsid w:val="00A14B1D"/>
    <w:rsid w:val="00A35217"/>
    <w:rsid w:val="00A40057"/>
    <w:rsid w:val="00A4593D"/>
    <w:rsid w:val="00A52D06"/>
    <w:rsid w:val="00A53958"/>
    <w:rsid w:val="00A60D1E"/>
    <w:rsid w:val="00A62DC1"/>
    <w:rsid w:val="00A73612"/>
    <w:rsid w:val="00A81140"/>
    <w:rsid w:val="00A824CA"/>
    <w:rsid w:val="00A85A7B"/>
    <w:rsid w:val="00A913AB"/>
    <w:rsid w:val="00AA00E0"/>
    <w:rsid w:val="00AA79A1"/>
    <w:rsid w:val="00AA7C1B"/>
    <w:rsid w:val="00AB21DA"/>
    <w:rsid w:val="00AC248E"/>
    <w:rsid w:val="00AC3F99"/>
    <w:rsid w:val="00AD0AF6"/>
    <w:rsid w:val="00AD13E4"/>
    <w:rsid w:val="00AD2624"/>
    <w:rsid w:val="00AD6AAD"/>
    <w:rsid w:val="00AE0CD2"/>
    <w:rsid w:val="00AE2B18"/>
    <w:rsid w:val="00AF0B38"/>
    <w:rsid w:val="00AF3382"/>
    <w:rsid w:val="00AF3F82"/>
    <w:rsid w:val="00B106EA"/>
    <w:rsid w:val="00B151A8"/>
    <w:rsid w:val="00B23FB2"/>
    <w:rsid w:val="00B27BE5"/>
    <w:rsid w:val="00B337A5"/>
    <w:rsid w:val="00B3561F"/>
    <w:rsid w:val="00B35A45"/>
    <w:rsid w:val="00B36D1D"/>
    <w:rsid w:val="00B4641E"/>
    <w:rsid w:val="00B46E78"/>
    <w:rsid w:val="00B5072E"/>
    <w:rsid w:val="00B53290"/>
    <w:rsid w:val="00B57FE6"/>
    <w:rsid w:val="00B611BF"/>
    <w:rsid w:val="00B64C77"/>
    <w:rsid w:val="00B650A8"/>
    <w:rsid w:val="00B77237"/>
    <w:rsid w:val="00B80485"/>
    <w:rsid w:val="00B85432"/>
    <w:rsid w:val="00B95BF7"/>
    <w:rsid w:val="00BC5D71"/>
    <w:rsid w:val="00BD7483"/>
    <w:rsid w:val="00BE2776"/>
    <w:rsid w:val="00C06A3D"/>
    <w:rsid w:val="00C06D9C"/>
    <w:rsid w:val="00C0779E"/>
    <w:rsid w:val="00C1644D"/>
    <w:rsid w:val="00C22B05"/>
    <w:rsid w:val="00C30621"/>
    <w:rsid w:val="00C307F0"/>
    <w:rsid w:val="00C4493E"/>
    <w:rsid w:val="00C71373"/>
    <w:rsid w:val="00C766EF"/>
    <w:rsid w:val="00C80F8C"/>
    <w:rsid w:val="00C93332"/>
    <w:rsid w:val="00C94E50"/>
    <w:rsid w:val="00CA047D"/>
    <w:rsid w:val="00CB4015"/>
    <w:rsid w:val="00CB4B7C"/>
    <w:rsid w:val="00CB5BED"/>
    <w:rsid w:val="00CC5EAB"/>
    <w:rsid w:val="00CD13BC"/>
    <w:rsid w:val="00CE696D"/>
    <w:rsid w:val="00CF30E8"/>
    <w:rsid w:val="00D01B99"/>
    <w:rsid w:val="00D12B23"/>
    <w:rsid w:val="00D16EA1"/>
    <w:rsid w:val="00D22D87"/>
    <w:rsid w:val="00D26C0E"/>
    <w:rsid w:val="00D34604"/>
    <w:rsid w:val="00D3766F"/>
    <w:rsid w:val="00D45865"/>
    <w:rsid w:val="00D46C00"/>
    <w:rsid w:val="00D557C2"/>
    <w:rsid w:val="00D64F32"/>
    <w:rsid w:val="00D66D4C"/>
    <w:rsid w:val="00D93CE4"/>
    <w:rsid w:val="00DA157D"/>
    <w:rsid w:val="00DA5071"/>
    <w:rsid w:val="00DA5209"/>
    <w:rsid w:val="00DC223E"/>
    <w:rsid w:val="00DD6A6C"/>
    <w:rsid w:val="00DE6440"/>
    <w:rsid w:val="00DF015D"/>
    <w:rsid w:val="00DF733A"/>
    <w:rsid w:val="00E10A96"/>
    <w:rsid w:val="00E141A5"/>
    <w:rsid w:val="00E146AA"/>
    <w:rsid w:val="00E160E7"/>
    <w:rsid w:val="00E170E8"/>
    <w:rsid w:val="00E27A4A"/>
    <w:rsid w:val="00E27F2A"/>
    <w:rsid w:val="00E313C4"/>
    <w:rsid w:val="00E3480F"/>
    <w:rsid w:val="00E401F1"/>
    <w:rsid w:val="00E42755"/>
    <w:rsid w:val="00E43B8E"/>
    <w:rsid w:val="00E45B76"/>
    <w:rsid w:val="00E46383"/>
    <w:rsid w:val="00E50E30"/>
    <w:rsid w:val="00E759D7"/>
    <w:rsid w:val="00E76ECF"/>
    <w:rsid w:val="00E77EA8"/>
    <w:rsid w:val="00E8209A"/>
    <w:rsid w:val="00E91550"/>
    <w:rsid w:val="00E91A10"/>
    <w:rsid w:val="00EA27CB"/>
    <w:rsid w:val="00EA5EEB"/>
    <w:rsid w:val="00EA7874"/>
    <w:rsid w:val="00EB6D5F"/>
    <w:rsid w:val="00EB7480"/>
    <w:rsid w:val="00EB7DE6"/>
    <w:rsid w:val="00EB7F1A"/>
    <w:rsid w:val="00EC0002"/>
    <w:rsid w:val="00ED5EE9"/>
    <w:rsid w:val="00F00A8E"/>
    <w:rsid w:val="00F01984"/>
    <w:rsid w:val="00F06505"/>
    <w:rsid w:val="00F15420"/>
    <w:rsid w:val="00F16FB6"/>
    <w:rsid w:val="00F247E7"/>
    <w:rsid w:val="00F36CDE"/>
    <w:rsid w:val="00F44E84"/>
    <w:rsid w:val="00F45BF1"/>
    <w:rsid w:val="00F5073D"/>
    <w:rsid w:val="00F548A9"/>
    <w:rsid w:val="00F54D8B"/>
    <w:rsid w:val="00F57D55"/>
    <w:rsid w:val="00F67F8E"/>
    <w:rsid w:val="00F7009C"/>
    <w:rsid w:val="00F75801"/>
    <w:rsid w:val="00F82CEF"/>
    <w:rsid w:val="00F92AF0"/>
    <w:rsid w:val="00F92F15"/>
    <w:rsid w:val="00F9624E"/>
    <w:rsid w:val="00FA05FB"/>
    <w:rsid w:val="00FA6221"/>
    <w:rsid w:val="00FB48D6"/>
    <w:rsid w:val="00FE4575"/>
    <w:rsid w:val="00FE72F4"/>
    <w:rsid w:val="00FE7408"/>
    <w:rsid w:val="00FF039F"/>
    <w:rsid w:val="00FF475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634DDB0-D30B-41FA-A807-297C001B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basedOn w:val="Normal"/>
    <w:link w:val="PrrafodelistaCar"/>
    <w:uiPriority w:val="72"/>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link w:val="Prrafodelista"/>
    <w:uiPriority w:val="72"/>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56658-0D35-4747-BD8B-1CFDE2017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1607</Words>
  <Characters>8844</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5</cp:revision>
  <cp:lastPrinted>2018-11-06T20:20:00Z</cp:lastPrinted>
  <dcterms:created xsi:type="dcterms:W3CDTF">2018-12-03T20:21:00Z</dcterms:created>
  <dcterms:modified xsi:type="dcterms:W3CDTF">2019-01-11T02:52:00Z</dcterms:modified>
</cp:coreProperties>
</file>